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(Amendment No. ________)*</w:t>
      </w:r>
    </w:p>
    <w:p>
      <w:pPr>
        <w:spacing w:after="0" w:line="211"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KemPharm,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488445 206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9960" w:firstLine="8"/>
        <w:spacing w:after="0" w:line="220" w:lineRule="exact"/>
        <w:tabs>
          <w:tab w:leader="none" w:pos="2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sz w:val="24"/>
          <w:szCs w:val="24"/>
          <w:color w:val="auto"/>
        </w:rPr>
      </w:pPr>
    </w:p>
    <w:p>
      <w:pPr>
        <w:ind w:right="6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488445 206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right="7980" w:hanging="357"/>
        <w:spacing w:after="0" w:line="26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Samuel J. Braun</w:t>
      </w:r>
    </w:p>
    <w:p>
      <w:pPr>
        <w:ind w:left="460" w:right="5800" w:hanging="357"/>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40" w:hanging="373"/>
        <w:spacing w:after="0" w:line="207" w:lineRule="exact"/>
        <w:tabs>
          <w:tab w:leader="none" w:pos="8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60" w:hanging="393"/>
        <w:spacing w:after="0" w:line="207" w:lineRule="exact"/>
        <w:tabs>
          <w:tab w:leader="none" w:pos="8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60" w:hanging="35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60" w:right="7100" w:hanging="357"/>
        <w:spacing w:after="0" w:line="52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-1707515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93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jc w:val="center"/>
              <w:ind w:right="210"/>
              <w:spacing w:after="0"/>
              <w:rPr>
                <w:sz w:val="20"/>
                <w:szCs w:val="20"/>
                <w:color w:val="auto"/>
              </w:rPr>
            </w:pPr>
            <w:r>
              <w:rPr>
                <w:rFonts w:ascii="Arial" w:cs="Arial" w:eastAsia="Arial" w:hAnsi="Arial"/>
                <w:sz w:val="18"/>
                <w:szCs w:val="18"/>
                <w:color w:val="auto"/>
              </w:rPr>
              <w:t>BENEFICIALLY</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2,056,500</w:t>
            </w:r>
          </w:p>
        </w:tc>
        <w:tc>
          <w:tcPr>
            <w:tcW w:w="0" w:type="dxa"/>
            <w:vAlign w:val="bottom"/>
          </w:tcPr>
          <w:p>
            <w:pPr>
              <w:spacing w:after="0"/>
              <w:rPr>
                <w:sz w:val="1"/>
                <w:szCs w:val="1"/>
                <w:color w:val="auto"/>
              </w:rPr>
            </w:pPr>
          </w:p>
        </w:tc>
      </w:tr>
      <w:tr>
        <w:trPr>
          <w:trHeight w:val="182"/>
        </w:trPr>
        <w:tc>
          <w:tcPr>
            <w:tcW w:w="1580" w:type="dxa"/>
            <w:vAlign w:val="bottom"/>
          </w:tcPr>
          <w:p>
            <w:pPr>
              <w:jc w:val="center"/>
              <w:ind w:right="210"/>
              <w:spacing w:after="0" w:line="182" w:lineRule="exact"/>
              <w:rPr>
                <w:sz w:val="20"/>
                <w:szCs w:val="20"/>
                <w:color w:val="auto"/>
              </w:rPr>
            </w:pPr>
            <w:r>
              <w:rPr>
                <w:rFonts w:ascii="Arial" w:cs="Arial" w:eastAsia="Arial" w:hAnsi="Arial"/>
                <w:sz w:val="18"/>
                <w:szCs w:val="18"/>
                <w:color w:val="auto"/>
                <w:w w:val="97"/>
              </w:rPr>
              <w:t>OWNED BY</w:t>
            </w:r>
          </w:p>
        </w:tc>
        <w:tc>
          <w:tcPr>
            <w:tcW w:w="24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6.</w:t>
            </w:r>
          </w:p>
        </w:tc>
        <w:tc>
          <w:tcPr>
            <w:tcW w:w="9320" w:type="dxa"/>
            <w:vAlign w:val="bottom"/>
          </w:tcPr>
          <w:p>
            <w:pPr>
              <w:ind w:left="1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5"/>
              </w:rPr>
              <w:t>EACH</w:t>
            </w:r>
          </w:p>
        </w:tc>
        <w:tc>
          <w:tcPr>
            <w:tcW w:w="2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580" w:type="dxa"/>
            <w:vAlign w:val="bottom"/>
            <w:vMerge w:val="continue"/>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2,056,500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14605</wp:posOffset>
            </wp:positionV>
            <wp:extent cx="6069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 w:lineRule="exact"/>
        <w:rPr>
          <w:sz w:val="20"/>
          <w:szCs w:val="20"/>
          <w:color w:val="auto"/>
        </w:rPr>
      </w:pPr>
    </w:p>
    <w:p>
      <w:pPr>
        <w:ind w:left="2040" w:right="6680" w:hanging="358"/>
        <w:spacing w:after="0" w:line="527" w:lineRule="auto"/>
        <w:tabs>
          <w:tab w:leader="none" w:pos="20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3" w:lineRule="exact"/>
        <w:rPr>
          <w:rFonts w:ascii="Arial" w:cs="Arial" w:eastAsia="Arial" w:hAnsi="Arial"/>
          <w:sz w:val="18"/>
          <w:szCs w:val="18"/>
          <w:color w:val="auto"/>
        </w:rPr>
      </w:pPr>
    </w:p>
    <w:p>
      <w:pPr>
        <w:ind w:left="480" w:right="4200" w:hanging="364"/>
        <w:spacing w:after="0" w:line="383" w:lineRule="auto"/>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2,056,500</w:t>
      </w:r>
    </w:p>
    <w:p>
      <w:pPr>
        <w:spacing w:after="0" w:line="1" w:lineRule="exact"/>
        <w:rPr>
          <w:rFonts w:ascii="Arial" w:cs="Arial" w:eastAsia="Arial" w:hAnsi="Arial"/>
          <w:sz w:val="18"/>
          <w:szCs w:val="18"/>
          <w:color w:val="auto"/>
        </w:rPr>
      </w:pPr>
    </w:p>
    <w:p>
      <w:pPr>
        <w:ind w:left="480" w:right="4120" w:hanging="454"/>
        <w:spacing w:after="0" w:line="231" w:lineRule="exact"/>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ind w:left="480" w:hanging="447"/>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7.2% (1)</w:t>
      </w:r>
    </w:p>
    <w:p>
      <w:pPr>
        <w:spacing w:after="0" w:line="23" w:lineRule="exact"/>
        <w:rPr>
          <w:rFonts w:ascii="Arial" w:cs="Arial" w:eastAsia="Arial" w:hAnsi="Arial"/>
          <w:sz w:val="18"/>
          <w:szCs w:val="18"/>
          <w:color w:val="auto"/>
        </w:rPr>
      </w:pPr>
    </w:p>
    <w:p>
      <w:pPr>
        <w:ind w:left="480" w:right="8260" w:hanging="454"/>
        <w:spacing w:after="0" w:line="527" w:lineRule="auto"/>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24" w:lineRule="exact"/>
        <w:rPr>
          <w:rFonts w:ascii="Arial" w:cs="Arial" w:eastAsia="Arial" w:hAnsi="Arial"/>
          <w:sz w:val="18"/>
          <w:szCs w:val="18"/>
          <w:color w:val="auto"/>
        </w:rPr>
      </w:pPr>
    </w:p>
    <w:p>
      <w:pPr>
        <w:ind w:right="480" w:firstLine="8"/>
        <w:spacing w:after="0" w:line="232" w:lineRule="auto"/>
        <w:tabs>
          <w:tab w:leader="none" w:pos="212"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Based on 28,376,321 shares of common stock outstanding as of March 10, 2021, as represented in the annual report on Form 10-K provided in the prospectus filed by KemPharm, Inc. with the Securities and Exchange Commission on 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-2398395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CUSIP No. 488445 206</w:t>
            </w:r>
          </w:p>
        </w:tc>
        <w:tc>
          <w:tcPr>
            <w:tcW w:w="2520" w:type="dxa"/>
            <w:vAlign w:val="bottom"/>
          </w:tcPr>
          <w:p>
            <w:pPr>
              <w:ind w:left="180"/>
              <w:spacing w:after="0"/>
              <w:rPr>
                <w:sz w:val="20"/>
                <w:szCs w:val="20"/>
                <w:color w:val="auto"/>
              </w:rPr>
            </w:pPr>
            <w:r>
              <w:rPr>
                <w:rFonts w:ascii="Arial" w:cs="Arial" w:eastAsia="Arial" w:hAnsi="Arial"/>
                <w:sz w:val="18"/>
                <w:szCs w:val="18"/>
                <w:color w:val="auto"/>
              </w:rPr>
              <w:t>13G</w:t>
            </w:r>
          </w:p>
        </w:tc>
        <w:tc>
          <w:tcPr>
            <w:tcW w:w="3300" w:type="dxa"/>
            <w:vAlign w:val="bottom"/>
          </w:tcPr>
          <w:p>
            <w:pPr>
              <w:ind w:left="2020"/>
              <w:spacing w:after="0"/>
              <w:rPr>
                <w:sz w:val="20"/>
                <w:szCs w:val="20"/>
                <w:color w:val="auto"/>
              </w:rPr>
            </w:pPr>
            <w:r>
              <w:rPr>
                <w:rFonts w:ascii="Arial" w:cs="Arial" w:eastAsia="Arial" w:hAnsi="Arial"/>
                <w:sz w:val="18"/>
                <w:szCs w:val="18"/>
                <w:color w:val="auto"/>
                <w:w w:val="85"/>
              </w:rPr>
              <w:t>Page 3 of 6 Pages</w:t>
            </w:r>
          </w:p>
        </w:tc>
      </w:tr>
      <w:tr>
        <w:trPr>
          <w:trHeight w:val="64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KemPharm, Inc.</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1180 Celebration Boulevard, Suite 103</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Celebration, Florida 34747</w:t>
            </w:r>
          </w:p>
        </w:tc>
        <w:tc>
          <w:tcPr>
            <w:tcW w:w="25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Samuel J. Braun</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692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33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5 West Main St.</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Box 361</w:t>
            </w:r>
          </w:p>
        </w:tc>
        <w:tc>
          <w:tcPr>
            <w:tcW w:w="25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Warner, South Dakota 57479-0361</w:t>
            </w:r>
          </w:p>
        </w:tc>
        <w:tc>
          <w:tcPr>
            <w:tcW w:w="25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USA</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5"/>
              </w:rPr>
              <w:t>Common Stock, par value $0.0001 (“Common Stock”)</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488445 206</w:t>
            </w:r>
          </w:p>
        </w:tc>
        <w:tc>
          <w:tcPr>
            <w:tcW w:w="2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gridSpan w:val="3"/>
          </w:tcPr>
          <w:p>
            <w:pPr>
              <w:ind w:left="280"/>
              <w:spacing w:after="0"/>
              <w:rPr>
                <w:sz w:val="20"/>
                <w:szCs w:val="20"/>
                <w:color w:val="auto"/>
              </w:rPr>
            </w:pPr>
            <w:r>
              <w:rPr>
                <w:rFonts w:ascii="Arial" w:cs="Arial" w:eastAsia="Arial" w:hAnsi="Arial"/>
                <w:sz w:val="18"/>
                <w:szCs w:val="18"/>
                <w:b w:val="1"/>
                <w:bCs w:val="1"/>
                <w:color w:val="auto"/>
              </w:rPr>
              <w:t>If this statement is filed pursuant to § § 240.13d-1(b) or 240.13d-2(b) or (c), check whether the person filing is a(n):</w:t>
            </w:r>
          </w:p>
        </w:tc>
      </w:tr>
    </w:tbl>
    <w:p>
      <w:pPr>
        <w:spacing w:after="0" w:line="200" w:lineRule="exact"/>
        <w:rPr>
          <w:sz w:val="20"/>
          <w:szCs w:val="20"/>
          <w:color w:val="auto"/>
        </w:rPr>
      </w:pPr>
    </w:p>
    <w:p>
      <w:pPr>
        <w:spacing w:after="0" w:line="21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adviser in accordance with § 240.13d-1(b)(1)(ii)(E);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Employee benefit plan or endowment fund in accordance with § 240.13d-1(b)(1)(ii)(F);</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Parent holding company or control person in accordance with § 240.13d-1(b)(1)(ii)(G);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960" w:right="180" w:hanging="1304"/>
        <w:spacing w:after="0" w:line="250"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 ]Church plan that is excluded from the definition of an investment company under section 3(c)(14) of the Investment Company Act of 1940 (15 U.S.C. 80a-3);</w:t>
      </w: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 240.13d-1(b)(1)(ii)(J);</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 240.13d-1(b)(1)(ii)(K).</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488445 206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2,056,500 shares of Common Stock</w:t>
      </w:r>
    </w:p>
    <w:p>
      <w:pPr>
        <w:spacing w:after="0" w:line="21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2,000,000 shares of Common Stock reported are held by the reporting person individually.</w:t>
      </w:r>
    </w:p>
    <w:p>
      <w:pPr>
        <w:spacing w:after="0" w:line="225" w:lineRule="exact"/>
        <w:rPr>
          <w:rFonts w:ascii="Arial" w:cs="Arial" w:eastAsia="Arial" w:hAnsi="Arial"/>
          <w:sz w:val="18"/>
          <w:szCs w:val="18"/>
          <w:color w:val="auto"/>
        </w:rPr>
      </w:pPr>
    </w:p>
    <w:p>
      <w:pPr>
        <w:ind w:left="1300" w:right="220"/>
        <w:spacing w:after="0" w:line="277" w:lineRule="auto"/>
        <w:rPr>
          <w:rFonts w:ascii="Arial" w:cs="Arial" w:eastAsia="Arial" w:hAnsi="Arial"/>
          <w:sz w:val="18"/>
          <w:szCs w:val="18"/>
          <w:color w:val="auto"/>
        </w:rPr>
      </w:pPr>
      <w:r>
        <w:rPr>
          <w:rFonts w:ascii="Arial" w:cs="Arial" w:eastAsia="Arial" w:hAnsi="Arial"/>
          <w:sz w:val="18"/>
          <w:szCs w:val="18"/>
          <w:color w:val="auto"/>
        </w:rPr>
        <w:t>50,000 shares of Common Stock reported are held by a related entity over which shares of Common Stock the reporting person has the sole voting and dispositive power.</w:t>
      </w:r>
    </w:p>
    <w:p>
      <w:pPr>
        <w:spacing w:after="0" w:line="170" w:lineRule="exact"/>
        <w:rPr>
          <w:rFonts w:ascii="Arial" w:cs="Arial" w:eastAsia="Arial" w:hAnsi="Arial"/>
          <w:sz w:val="18"/>
          <w:szCs w:val="18"/>
          <w:color w:val="auto"/>
        </w:rPr>
      </w:pPr>
    </w:p>
    <w:p>
      <w:pPr>
        <w:ind w:left="1300" w:right="320"/>
        <w:spacing w:after="0" w:line="277" w:lineRule="auto"/>
        <w:rPr>
          <w:rFonts w:ascii="Arial" w:cs="Arial" w:eastAsia="Arial" w:hAnsi="Arial"/>
          <w:sz w:val="18"/>
          <w:szCs w:val="18"/>
          <w:color w:val="auto"/>
        </w:rPr>
      </w:pPr>
      <w:r>
        <w:rPr>
          <w:rFonts w:ascii="Arial" w:cs="Arial" w:eastAsia="Arial" w:hAnsi="Arial"/>
          <w:sz w:val="18"/>
          <w:szCs w:val="18"/>
          <w:color w:val="auto"/>
        </w:rPr>
        <w:t>6,500 shares of Common Stock reported are held by a related entity over which shares of Common Stock the reporting person has the sole voting and dispositive power.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960" w:right="6460" w:hanging="656"/>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2,056,500</w:t>
      </w:r>
    </w:p>
    <w:p>
      <w:pPr>
        <w:spacing w:after="0" w:line="170" w:lineRule="exact"/>
        <w:rPr>
          <w:rFonts w:ascii="Arial" w:cs="Arial" w:eastAsia="Arial" w:hAnsi="Arial"/>
          <w:sz w:val="18"/>
          <w:szCs w:val="18"/>
          <w:color w:val="auto"/>
        </w:rPr>
      </w:pPr>
    </w:p>
    <w:p>
      <w:pPr>
        <w:ind w:left="1960" w:right="6340" w:hanging="656"/>
        <w:spacing w:after="0" w:line="258"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960" w:right="5560" w:hanging="656"/>
        <w:spacing w:after="0" w:line="260"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2,056,500</w:t>
      </w:r>
    </w:p>
    <w:p>
      <w:pPr>
        <w:spacing w:after="0" w:line="185" w:lineRule="exact"/>
        <w:rPr>
          <w:rFonts w:ascii="Arial" w:cs="Arial" w:eastAsia="Arial" w:hAnsi="Arial"/>
          <w:sz w:val="18"/>
          <w:szCs w:val="18"/>
          <w:color w:val="auto"/>
        </w:rPr>
      </w:pPr>
    </w:p>
    <w:p>
      <w:pPr>
        <w:ind w:left="1960" w:right="5380" w:hanging="656"/>
        <w:spacing w:after="0" w:line="277"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20" w:type="dxa"/>
            <w:vAlign w:val="bottom"/>
          </w:tcPr>
          <w:p>
            <w:pPr>
              <w:ind w:left="38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18"/>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30"/>
        </w:trPr>
        <w:tc>
          <w:tcPr>
            <w:tcW w:w="920" w:type="dxa"/>
            <w:vAlign w:val="bottom"/>
          </w:tcPr>
          <w:p>
            <w:pPr>
              <w:spacing w:after="0"/>
              <w:rPr>
                <w:sz w:val="20"/>
                <w:szCs w:val="20"/>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more than 5 percent of the class of securities, check the following. [  ]</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tcPr>
          <w:p>
            <w:pPr>
              <w:ind w:left="3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8"/>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w w:val="92"/>
              </w:rPr>
              <w:t>The other members of each of the related entities over which the reporting person exercises sole voting and dispositive power have the</w:t>
            </w:r>
          </w:p>
        </w:tc>
      </w:tr>
      <w:tr>
        <w:trPr>
          <w:trHeight w:val="216"/>
        </w:trPr>
        <w:tc>
          <w:tcPr>
            <w:tcW w:w="920" w:type="dxa"/>
            <w:vAlign w:val="bottom"/>
          </w:tcPr>
          <w:p>
            <w:pPr>
              <w:spacing w:after="0"/>
              <w:rPr>
                <w:sz w:val="18"/>
                <w:szCs w:val="18"/>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w w:val="97"/>
              </w:rPr>
              <w:t>right to participate in the receipt of dividends from, and proceeds from the sale of, the shares in accordance with their respective</w:t>
            </w:r>
          </w:p>
        </w:tc>
      </w:tr>
      <w:tr>
        <w:trPr>
          <w:trHeight w:val="230"/>
        </w:trPr>
        <w:tc>
          <w:tcPr>
            <w:tcW w:w="920" w:type="dxa"/>
            <w:vAlign w:val="bottom"/>
          </w:tcPr>
          <w:p>
            <w:pPr>
              <w:spacing w:after="0"/>
              <w:rPr>
                <w:sz w:val="20"/>
                <w:szCs w:val="20"/>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ownership interests in such entities.</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20" w:type="dxa"/>
            <w:vAlign w:val="bottom"/>
          </w:tcPr>
          <w:p>
            <w:pPr>
              <w:ind w:left="38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20" w:type="dxa"/>
            <w:vAlign w:val="bottom"/>
          </w:tcPr>
          <w:p>
            <w:pPr>
              <w:spacing w:after="0"/>
              <w:rPr>
                <w:sz w:val="20"/>
                <w:szCs w:val="20"/>
                <w:color w:val="auto"/>
              </w:rPr>
            </w:pPr>
          </w:p>
        </w:tc>
        <w:tc>
          <w:tcPr>
            <w:tcW w:w="10320" w:type="dxa"/>
            <w:vAlign w:val="bottom"/>
          </w:tcPr>
          <w:p>
            <w:pPr>
              <w:ind w:left="38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20" w:type="dxa"/>
            <w:vAlign w:val="bottom"/>
          </w:tcPr>
          <w:p>
            <w:pPr>
              <w:ind w:left="3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Not applicable.</w:t>
            </w:r>
          </w:p>
        </w:tc>
      </w:tr>
      <w:tr>
        <w:trPr>
          <w:trHeight w:val="972"/>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4" w:name="page5"/>
    <w:bookmarkEnd w:id="4"/>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488445 206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1317625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488445 206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Samuel J. Braun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Samuel J. Braun</w:t>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2EB141F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2021-04-19T16:13:05Z</dcterms:created>
  <dcterms:modified xsi:type="dcterms:W3CDTF">2021-04-19T16:13:05Z</dcterms:modified>
</cp:coreProperties>
</file>