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316230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369570</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155575</wp:posOffset>
            </wp:positionV>
            <wp:extent cx="1790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762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168275</wp:posOffset>
            </wp:positionV>
            <wp:extent cx="1790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762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124" w:right="3140" w:hanging="4124"/>
        <w:spacing w:after="0" w:line="481" w:lineRule="auto"/>
        <w:tabs>
          <w:tab w:leader="none" w:pos="3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6835" cy="78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835" cy="78105"/>
                    </a:xfrm>
                    <a:prstGeom prst="rect">
                      <a:avLst/>
                    </a:prstGeom>
                    <a:noFill/>
                  </pic:spPr>
                </pic:pic>
              </a:graphicData>
            </a:graphic>
          </wp:anchor>
        </w:drawing>
      </w:r>
    </w:p>
    <w:p>
      <w:pPr>
        <w:spacing w:after="0" w:line="7" w:lineRule="exact"/>
        <w:rPr>
          <w:sz w:val="24"/>
          <w:szCs w:val="24"/>
          <w:color w:val="auto"/>
        </w:rPr>
      </w:pPr>
    </w:p>
    <w:p>
      <w:pPr>
        <w:ind w:left="4564" w:right="2820" w:hanging="4564"/>
        <w:spacing w:after="0" w:line="530" w:lineRule="auto"/>
        <w:tabs>
          <w:tab w:leader="none" w:pos="35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10795</wp:posOffset>
            </wp:positionV>
            <wp:extent cx="1790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700"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-491490</wp:posOffset>
            </wp:positionV>
            <wp:extent cx="76835" cy="78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835" cy="78105"/>
                    </a:xfrm>
                    <a:prstGeom prst="rect">
                      <a:avLst/>
                    </a:prstGeom>
                    <a:noFill/>
                  </pic:spPr>
                </pic:pic>
              </a:graphicData>
            </a:graphic>
          </wp:anchor>
        </w:drawing>
      </w: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38"/>
          <w:szCs w:val="38"/>
          <w:b w:val="1"/>
          <w:bCs w:val="1"/>
          <w:color w:val="auto"/>
        </w:rPr>
        <w:t>KemPharm, Inc.</w:t>
      </w:r>
    </w:p>
    <w:p>
      <w:pPr>
        <w:spacing w:after="0" w:line="45"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155575</wp:posOffset>
            </wp:positionV>
            <wp:extent cx="1790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0700" cy="762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4" w:type="dxa"/>
        <w:tblCellMar>
          <w:top w:w="0" w:type="dxa"/>
          <w:left w:w="0" w:type="dxa"/>
          <w:bottom w:w="0" w:type="dxa"/>
          <w:right w:w="0" w:type="dxa"/>
        </w:tblCellMar>
      </w:tblPr>
      <w:tr>
        <w:trPr>
          <w:trHeight w:val="191"/>
        </w:trPr>
        <w:tc>
          <w:tcPr>
            <w:tcW w:w="1240" w:type="dxa"/>
            <w:vAlign w:val="bottom"/>
          </w:tcPr>
          <w:p>
            <w:pPr>
              <w:spacing w:after="0"/>
              <w:rPr>
                <w:sz w:val="16"/>
                <w:szCs w:val="16"/>
                <w:color w:val="auto"/>
              </w:rPr>
            </w:pPr>
          </w:p>
        </w:tc>
        <w:tc>
          <w:tcPr>
            <w:tcW w:w="376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3"/>
              </w:rPr>
              <w:t>Delaware</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80" w:type="dxa"/>
            <w:vAlign w:val="bottom"/>
            <w:gridSpan w:val="3"/>
          </w:tcPr>
          <w:p>
            <w:pPr>
              <w:jc w:val="right"/>
              <w:ind w:right="2040"/>
              <w:spacing w:after="0"/>
              <w:rPr>
                <w:sz w:val="20"/>
                <w:szCs w:val="20"/>
                <w:color w:val="auto"/>
              </w:rPr>
            </w:pPr>
            <w:r>
              <w:rPr>
                <w:rFonts w:ascii="Arial" w:cs="Arial" w:eastAsia="Arial" w:hAnsi="Arial"/>
                <w:sz w:val="16"/>
                <w:szCs w:val="16"/>
                <w:b w:val="1"/>
                <w:bCs w:val="1"/>
                <w:color w:val="auto"/>
              </w:rPr>
              <w:t>20-5894398</w:t>
            </w:r>
          </w:p>
        </w:tc>
        <w:tc>
          <w:tcPr>
            <w:tcW w:w="0" w:type="dxa"/>
            <w:vAlign w:val="bottom"/>
          </w:tcPr>
          <w:p>
            <w:pPr>
              <w:spacing w:after="0"/>
              <w:rPr>
                <w:sz w:val="1"/>
                <w:szCs w:val="1"/>
                <w:color w:val="auto"/>
              </w:rPr>
            </w:pPr>
          </w:p>
        </w:tc>
      </w:tr>
      <w:tr>
        <w:trPr>
          <w:trHeight w:val="208"/>
        </w:trPr>
        <w:tc>
          <w:tcPr>
            <w:tcW w:w="5000" w:type="dxa"/>
            <w:vAlign w:val="bottom"/>
            <w:gridSpan w:val="4"/>
          </w:tcPr>
          <w:p>
            <w:pPr>
              <w:jc w:val="center"/>
              <w:ind w:left="54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00" w:type="dxa"/>
            <w:vAlign w:val="bottom"/>
            <w:gridSpan w:val="4"/>
          </w:tcPr>
          <w:p>
            <w:pPr>
              <w:jc w:val="center"/>
              <w:ind w:right="1020"/>
              <w:spacing w:after="0"/>
              <w:rPr>
                <w:sz w:val="20"/>
                <w:szCs w:val="20"/>
                <w:color w:val="auto"/>
              </w:rPr>
            </w:pPr>
            <w:r>
              <w:rPr>
                <w:rFonts w:ascii="Arial" w:cs="Arial" w:eastAsia="Arial" w:hAnsi="Arial"/>
                <w:sz w:val="16"/>
                <w:szCs w:val="16"/>
                <w:b w:val="1"/>
                <w:bCs w:val="1"/>
                <w:color w:val="auto"/>
                <w:w w:val="93"/>
              </w:rPr>
              <w:t>(I.R.S. Employer Identification No.)</w:t>
            </w:r>
          </w:p>
        </w:tc>
        <w:tc>
          <w:tcPr>
            <w:tcW w:w="0" w:type="dxa"/>
            <w:vAlign w:val="bottom"/>
          </w:tcPr>
          <w:p>
            <w:pPr>
              <w:spacing w:after="0"/>
              <w:rPr>
                <w:sz w:val="1"/>
                <w:szCs w:val="1"/>
                <w:color w:val="auto"/>
              </w:rPr>
            </w:pPr>
          </w:p>
        </w:tc>
      </w:tr>
      <w:tr>
        <w:trPr>
          <w:trHeight w:val="366"/>
        </w:trPr>
        <w:tc>
          <w:tcPr>
            <w:tcW w:w="5000" w:type="dxa"/>
            <w:vAlign w:val="bottom"/>
            <w:gridSpan w:val="4"/>
          </w:tcPr>
          <w:p>
            <w:pPr>
              <w:jc w:val="center"/>
              <w:ind w:left="540"/>
              <w:spacing w:after="0"/>
              <w:rPr>
                <w:sz w:val="20"/>
                <w:szCs w:val="20"/>
                <w:color w:val="auto"/>
              </w:rPr>
            </w:pPr>
            <w:r>
              <w:rPr>
                <w:rFonts w:ascii="Arial" w:cs="Arial" w:eastAsia="Arial" w:hAnsi="Arial"/>
                <w:sz w:val="16"/>
                <w:szCs w:val="16"/>
                <w:b w:val="1"/>
                <w:bCs w:val="1"/>
                <w:color w:val="auto"/>
                <w:w w:val="90"/>
              </w:rPr>
              <w:t>1180 Celebration Boulevard, Suite 103, Celebration, FL 34747</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80" w:type="dxa"/>
            <w:vAlign w:val="bottom"/>
            <w:gridSpan w:val="3"/>
          </w:tcPr>
          <w:p>
            <w:pPr>
              <w:jc w:val="right"/>
              <w:ind w:right="1920"/>
              <w:spacing w:after="0"/>
              <w:rPr>
                <w:sz w:val="20"/>
                <w:szCs w:val="20"/>
                <w:color w:val="auto"/>
              </w:rPr>
            </w:pPr>
            <w:r>
              <w:rPr>
                <w:rFonts w:ascii="Arial" w:cs="Arial" w:eastAsia="Arial" w:hAnsi="Arial"/>
                <w:sz w:val="16"/>
                <w:szCs w:val="16"/>
                <w:b w:val="1"/>
                <w:bCs w:val="1"/>
                <w:color w:val="auto"/>
              </w:rPr>
              <w:t>(321) 939-3416</w:t>
            </w:r>
          </w:p>
        </w:tc>
        <w:tc>
          <w:tcPr>
            <w:tcW w:w="0" w:type="dxa"/>
            <w:vAlign w:val="bottom"/>
          </w:tcPr>
          <w:p>
            <w:pPr>
              <w:spacing w:after="0"/>
              <w:rPr>
                <w:sz w:val="1"/>
                <w:szCs w:val="1"/>
                <w:color w:val="auto"/>
              </w:rPr>
            </w:pPr>
          </w:p>
        </w:tc>
      </w:tr>
      <w:tr>
        <w:trPr>
          <w:trHeight w:val="208"/>
        </w:trPr>
        <w:tc>
          <w:tcPr>
            <w:tcW w:w="5000" w:type="dxa"/>
            <w:vAlign w:val="bottom"/>
            <w:gridSpan w:val="4"/>
          </w:tcPr>
          <w:p>
            <w:pPr>
              <w:jc w:val="center"/>
              <w:ind w:left="540"/>
              <w:spacing w:after="0"/>
              <w:rPr>
                <w:sz w:val="20"/>
                <w:szCs w:val="20"/>
                <w:color w:val="auto"/>
              </w:rPr>
            </w:pPr>
            <w:r>
              <w:rPr>
                <w:rFonts w:ascii="Arial" w:cs="Arial" w:eastAsia="Arial" w:hAnsi="Arial"/>
                <w:sz w:val="16"/>
                <w:szCs w:val="16"/>
                <w:b w:val="1"/>
                <w:bCs w:val="1"/>
                <w:color w:val="auto"/>
                <w:w w:val="90"/>
              </w:rPr>
              <w:t>(Address of Principal Executive Offices and Zip Code)</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60" w:type="dxa"/>
            <w:vAlign w:val="bottom"/>
            <w:gridSpan w:val="6"/>
          </w:tcPr>
          <w:p>
            <w:pPr>
              <w:jc w:val="center"/>
              <w:ind w:left="1020"/>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240" w:type="dxa"/>
            <w:vAlign w:val="bottom"/>
          </w:tcPr>
          <w:p>
            <w:pPr>
              <w:spacing w:after="0"/>
              <w:rPr>
                <w:sz w:val="24"/>
                <w:szCs w:val="24"/>
                <w:color w:val="auto"/>
              </w:rPr>
            </w:pPr>
          </w:p>
        </w:tc>
        <w:tc>
          <w:tcPr>
            <w:tcW w:w="3760" w:type="dxa"/>
            <w:vAlign w:val="bottom"/>
            <w:gridSpan w:val="3"/>
          </w:tcPr>
          <w:p>
            <w:pPr>
              <w:jc w:val="center"/>
              <w:ind w:right="2500"/>
              <w:spacing w:after="0"/>
              <w:rPr>
                <w:sz w:val="20"/>
                <w:szCs w:val="20"/>
                <w:color w:val="auto"/>
              </w:rPr>
            </w:pPr>
            <w:r>
              <w:rPr>
                <w:rFonts w:ascii="Arial" w:cs="Arial" w:eastAsia="Arial" w:hAnsi="Arial"/>
                <w:sz w:val="16"/>
                <w:szCs w:val="16"/>
                <w:b w:val="1"/>
                <w:bCs w:val="1"/>
                <w:color w:val="auto"/>
                <w:w w:val="88"/>
              </w:rPr>
              <w:t>Title of Each Class</w:t>
            </w:r>
          </w:p>
        </w:tc>
        <w:tc>
          <w:tcPr>
            <w:tcW w:w="2660" w:type="dxa"/>
            <w:vAlign w:val="bottom"/>
            <w:gridSpan w:val="4"/>
          </w:tcPr>
          <w:p>
            <w:pPr>
              <w:jc w:val="center"/>
              <w:ind w:right="1320"/>
              <w:spacing w:after="0"/>
              <w:rPr>
                <w:sz w:val="20"/>
                <w:szCs w:val="20"/>
                <w:color w:val="auto"/>
              </w:rPr>
            </w:pPr>
            <w:r>
              <w:rPr>
                <w:rFonts w:ascii="Arial" w:cs="Arial" w:eastAsia="Arial" w:hAnsi="Arial"/>
                <w:sz w:val="16"/>
                <w:szCs w:val="16"/>
                <w:b w:val="1"/>
                <w:bCs w:val="1"/>
                <w:color w:val="auto"/>
                <w:w w:val="90"/>
              </w:rPr>
              <w:t>Trading Symbol</w:t>
            </w:r>
          </w:p>
        </w:tc>
        <w:tc>
          <w:tcPr>
            <w:tcW w:w="3280" w:type="dxa"/>
            <w:vAlign w:val="bottom"/>
            <w:gridSpan w:val="3"/>
          </w:tcPr>
          <w:p>
            <w:pPr>
              <w:jc w:val="center"/>
              <w:ind w:left="80"/>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00" w:type="dxa"/>
            <w:vAlign w:val="bottom"/>
            <w:gridSpan w:val="4"/>
          </w:tcPr>
          <w:p>
            <w:pPr>
              <w:jc w:val="center"/>
              <w:ind w:right="1260"/>
              <w:spacing w:after="0"/>
              <w:rPr>
                <w:sz w:val="20"/>
                <w:szCs w:val="20"/>
                <w:color w:val="auto"/>
              </w:rPr>
            </w:pPr>
            <w:r>
              <w:rPr>
                <w:rFonts w:ascii="Arial" w:cs="Arial" w:eastAsia="Arial" w:hAnsi="Arial"/>
                <w:sz w:val="16"/>
                <w:szCs w:val="16"/>
                <w:b w:val="1"/>
                <w:bCs w:val="1"/>
                <w:color w:val="auto"/>
                <w:w w:val="90"/>
              </w:rPr>
              <w:t>Common Stock, $0.0001 par value</w:t>
            </w:r>
          </w:p>
        </w:tc>
        <w:tc>
          <w:tcPr>
            <w:tcW w:w="80" w:type="dxa"/>
            <w:vAlign w:val="bottom"/>
          </w:tcPr>
          <w:p>
            <w:pPr>
              <w:spacing w:after="0"/>
              <w:rPr>
                <w:sz w:val="16"/>
                <w:szCs w:val="16"/>
                <w:color w:val="auto"/>
              </w:rPr>
            </w:pPr>
          </w:p>
        </w:tc>
        <w:tc>
          <w:tcPr>
            <w:tcW w:w="258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rPr>
              <w:t>KMPH</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jc w:val="center"/>
              <w:ind w:right="360"/>
              <w:spacing w:after="0"/>
              <w:rPr>
                <w:sz w:val="20"/>
                <w:szCs w:val="20"/>
                <w:color w:val="auto"/>
              </w:rPr>
            </w:pPr>
            <w:r>
              <w:rPr>
                <w:rFonts w:ascii="Arial" w:cs="Arial" w:eastAsia="Arial" w:hAnsi="Arial"/>
                <w:sz w:val="16"/>
                <w:szCs w:val="16"/>
                <w:b w:val="1"/>
                <w:bCs w:val="1"/>
                <w:color w:val="auto"/>
                <w:w w:val="93"/>
              </w:rPr>
              <w:t>The Nasdaq Stock Market LLC</w:t>
            </w: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tcPr>
          <w:p>
            <w:pPr>
              <w:jc w:val="center"/>
              <w:ind w:right="360"/>
              <w:spacing w:after="0"/>
              <w:rPr>
                <w:sz w:val="20"/>
                <w:szCs w:val="20"/>
                <w:color w:val="auto"/>
              </w:rPr>
            </w:pPr>
            <w:r>
              <w:rPr>
                <w:rFonts w:ascii="Arial" w:cs="Arial" w:eastAsia="Arial" w:hAnsi="Arial"/>
                <w:sz w:val="16"/>
                <w:szCs w:val="16"/>
                <w:b w:val="1"/>
                <w:bCs w:val="1"/>
                <w:color w:val="auto"/>
                <w:w w:val="94"/>
              </w:rPr>
              <w:t>(Nasdaq Capital Market)</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60" w:type="dxa"/>
            <w:vAlign w:val="bottom"/>
            <w:gridSpan w:val="8"/>
          </w:tcPr>
          <w:p>
            <w:pPr>
              <w:jc w:val="center"/>
              <w:ind w:left="400"/>
              <w:spacing w:after="0"/>
              <w:rPr>
                <w:sz w:val="20"/>
                <w:szCs w:val="20"/>
                <w:color w:val="auto"/>
              </w:rPr>
            </w:pPr>
            <w:r>
              <w:rPr>
                <w:rFonts w:ascii="Arial" w:cs="Arial" w:eastAsia="Arial" w:hAnsi="Arial"/>
                <w:sz w:val="16"/>
                <w:szCs w:val="16"/>
                <w:b w:val="1"/>
                <w:bCs w:val="1"/>
                <w:color w:val="auto"/>
                <w:w w:val="88"/>
              </w:rPr>
              <w:t>Securities registered pursuant to Section 12(g) of the Act: None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680" w:type="dxa"/>
            <w:vAlign w:val="bottom"/>
            <w:vMerge w:val="restart"/>
          </w:tcPr>
          <w:p>
            <w:pPr>
              <w:ind w:left="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438"/>
        </w:trPr>
        <w:tc>
          <w:tcPr>
            <w:tcW w:w="76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600" w:type="dxa"/>
            <w:vAlign w:val="bottom"/>
            <w:gridSpan w:val="2"/>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660" w:type="dxa"/>
            <w:vAlign w:val="bottom"/>
            <w:gridSpan w:val="8"/>
          </w:tcPr>
          <w:p>
            <w:pPr>
              <w:spacing w:after="0"/>
              <w:rPr>
                <w:sz w:val="20"/>
                <w:szCs w:val="20"/>
                <w:color w:val="auto"/>
              </w:rPr>
            </w:pPr>
            <w:r>
              <w:rPr>
                <w:rFonts w:ascii="Arial" w:cs="Arial" w:eastAsia="Arial" w:hAnsi="Arial"/>
                <w:sz w:val="16"/>
                <w:szCs w:val="16"/>
                <w:color w:val="auto"/>
                <w:w w:val="91"/>
              </w:rPr>
              <w:t>Indicate by check mark if the Registrant is not required to file reports pursuant to Section 13 or Section 15(d) of the Act</w:t>
            </w:r>
          </w:p>
        </w:tc>
        <w:tc>
          <w:tcPr>
            <w:tcW w:w="160" w:type="dxa"/>
            <w:vAlign w:val="bottom"/>
          </w:tcPr>
          <w:p>
            <w:pPr>
              <w:spacing w:after="0"/>
              <w:rPr>
                <w:sz w:val="24"/>
                <w:szCs w:val="24"/>
                <w:color w:val="auto"/>
              </w:rPr>
            </w:pPr>
          </w:p>
        </w:tc>
        <w:tc>
          <w:tcPr>
            <w:tcW w:w="440" w:type="dxa"/>
            <w:vAlign w:val="bottom"/>
          </w:tcPr>
          <w:p>
            <w:pPr>
              <w:spacing w:after="0" w:line="184" w:lineRule="exact"/>
              <w:rPr>
                <w:sz w:val="20"/>
                <w:szCs w:val="20"/>
                <w:color w:val="auto"/>
              </w:rPr>
            </w:pPr>
            <w:r>
              <w:rPr>
                <w:rFonts w:ascii="Arial" w:cs="Arial" w:eastAsia="Arial" w:hAnsi="Arial"/>
                <w:sz w:val="16"/>
                <w:szCs w:val="16"/>
                <w:color w:val="auto"/>
                <w:w w:val="87"/>
              </w:rPr>
              <w:t xml:space="preserve">Yes </w:t>
            </w:r>
            <w:r>
              <w:rPr>
                <w:rFonts w:ascii="MS PGothic" w:cs="MS PGothic" w:eastAsia="MS PGothic" w:hAnsi="MS PGothic"/>
                <w:sz w:val="16"/>
                <w:szCs w:val="16"/>
                <w:color w:val="auto"/>
                <w:w w:val="87"/>
              </w:rPr>
              <w:t>☐</w:t>
            </w:r>
          </w:p>
        </w:tc>
        <w:tc>
          <w:tcPr>
            <w:tcW w:w="2680" w:type="dxa"/>
            <w:vAlign w:val="bottom"/>
          </w:tcPr>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ind w:left="4"/>
        <w:spacing w:after="0" w:line="19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p>
    <w:p>
      <w:pPr>
        <w:ind w:left="164"/>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left="4" w:right="20"/>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jc w:val="both"/>
        <w:ind w:left="4" w:right="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4"/>
        <w:spacing w:after="0" w:line="184" w:lineRule="exact"/>
        <w:tabs>
          <w:tab w:leader="none" w:pos="1784" w:val="left"/>
          <w:tab w:leader="none" w:pos="3244" w:val="left"/>
          <w:tab w:leader="none" w:pos="4964" w:val="left"/>
          <w:tab w:leader="none" w:pos="7104"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8" w:lineRule="exact"/>
        <w:rPr>
          <w:sz w:val="24"/>
          <w:szCs w:val="24"/>
          <w:color w:val="auto"/>
        </w:rPr>
      </w:pPr>
    </w:p>
    <w:p>
      <w:pPr>
        <w:ind w:left="4" w:right="20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p>
      <w:pPr>
        <w:ind w:left="4" w:right="20"/>
        <w:spacing w:after="0" w:line="20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33" w:lineRule="exact"/>
        <w:rPr>
          <w:sz w:val="24"/>
          <w:szCs w:val="24"/>
          <w:color w:val="auto"/>
        </w:rPr>
      </w:pPr>
    </w:p>
    <w:p>
      <w:pPr>
        <w:ind w:left="4"/>
        <w:spacing w:after="0" w:line="184" w:lineRule="exact"/>
        <w:tabs>
          <w:tab w:leader="none" w:pos="7424" w:val="left"/>
          <w:tab w:leader="none" w:pos="8024"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350520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 w:name="page2"/>
    <w:bookmarkEnd w:id="1"/>
    <w:p>
      <w:pPr>
        <w:jc w:val="both"/>
        <w:spacing w:after="0" w:line="274"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 of June 30, 2020, the last business day of the registrant’s most recently completed second fiscal quarter, was approximately $18.5 million, based upon the closing sales price for the registrant’s common stock, as reported on the OTC Markets Venture Market, or OTCQB, on June 30, 2020. The calculation of the aggregate market value of voting and non-voting common equity excludes 170,390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2021, the registrant had 28,376,321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164465</wp:posOffset>
            </wp:positionV>
            <wp:extent cx="1790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0700" cy="76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Portions of the registrant’s definitive proxy statement for its 2021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2020. Except with respect to information specifically incorporated by reference in this Annual Report on Form 10-K, the definitive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7148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714819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560070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1"/>
        </w:trPr>
        <w:tc>
          <w:tcPr>
            <w:tcW w:w="620" w:type="dxa"/>
            <w:vAlign w:val="bottom"/>
          </w:tcPr>
          <w:p>
            <w:pPr>
              <w:spacing w:after="0"/>
              <w:rPr>
                <w:sz w:val="16"/>
                <w:szCs w:val="16"/>
                <w:color w:val="auto"/>
              </w:rPr>
            </w:pPr>
          </w:p>
        </w:tc>
        <w:tc>
          <w:tcPr>
            <w:tcW w:w="9960" w:type="dxa"/>
            <w:vAlign w:val="bottom"/>
          </w:tcPr>
          <w:p>
            <w:pPr>
              <w:jc w:val="center"/>
              <w:spacing w:after="0"/>
              <w:rPr>
                <w:sz w:val="20"/>
                <w:szCs w:val="20"/>
                <w:color w:val="auto"/>
              </w:rPr>
            </w:pPr>
            <w:r>
              <w:rPr>
                <w:rFonts w:ascii="Arial" w:cs="Arial" w:eastAsia="Arial" w:hAnsi="Arial"/>
                <w:sz w:val="16"/>
                <w:szCs w:val="16"/>
                <w:b w:val="1"/>
                <w:bCs w:val="1"/>
                <w:color w:val="auto"/>
              </w:rPr>
              <w:t>KEMPHARM, INC.</w:t>
            </w:r>
          </w:p>
        </w:tc>
        <w:tc>
          <w:tcPr>
            <w:tcW w:w="680" w:type="dxa"/>
            <w:vAlign w:val="bottom"/>
          </w:tcPr>
          <w:p>
            <w:pPr>
              <w:spacing w:after="0"/>
              <w:rPr>
                <w:sz w:val="16"/>
                <w:szCs w:val="16"/>
                <w:color w:val="auto"/>
              </w:rPr>
            </w:pPr>
          </w:p>
        </w:tc>
      </w:tr>
      <w:tr>
        <w:trPr>
          <w:trHeight w:val="208"/>
        </w:trPr>
        <w:tc>
          <w:tcPr>
            <w:tcW w:w="620" w:type="dxa"/>
            <w:vAlign w:val="bottom"/>
          </w:tcPr>
          <w:p>
            <w:pPr>
              <w:spacing w:after="0"/>
              <w:rPr>
                <w:sz w:val="18"/>
                <w:szCs w:val="18"/>
                <w:color w:val="auto"/>
              </w:rPr>
            </w:pPr>
          </w:p>
        </w:tc>
        <w:tc>
          <w:tcPr>
            <w:tcW w:w="9960" w:type="dxa"/>
            <w:vAlign w:val="bottom"/>
          </w:tcPr>
          <w:p>
            <w:pPr>
              <w:jc w:val="center"/>
              <w:spacing w:after="0"/>
              <w:rPr>
                <w:sz w:val="20"/>
                <w:szCs w:val="20"/>
                <w:color w:val="auto"/>
              </w:rPr>
            </w:pPr>
            <w:r>
              <w:rPr>
                <w:rFonts w:ascii="Arial" w:cs="Arial" w:eastAsia="Arial" w:hAnsi="Arial"/>
                <w:sz w:val="16"/>
                <w:szCs w:val="16"/>
                <w:b w:val="1"/>
                <w:bCs w:val="1"/>
                <w:color w:val="auto"/>
                <w:w w:val="99"/>
              </w:rPr>
              <w:t>FORM 10-K</w:t>
            </w:r>
          </w:p>
        </w:tc>
        <w:tc>
          <w:tcPr>
            <w:tcW w:w="680" w:type="dxa"/>
            <w:vAlign w:val="bottom"/>
          </w:tcPr>
          <w:p>
            <w:pPr>
              <w:spacing w:after="0"/>
              <w:rPr>
                <w:sz w:val="18"/>
                <w:szCs w:val="18"/>
                <w:color w:val="auto"/>
              </w:rPr>
            </w:pPr>
          </w:p>
        </w:tc>
      </w:tr>
      <w:tr>
        <w:trPr>
          <w:trHeight w:val="382"/>
        </w:trPr>
        <w:tc>
          <w:tcPr>
            <w:tcW w:w="62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Page</w:t>
            </w:r>
          </w:p>
        </w:tc>
      </w:tr>
      <w:tr>
        <w:trPr>
          <w:trHeight w:val="375"/>
        </w:trPr>
        <w:tc>
          <w:tcPr>
            <w:tcW w:w="62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6"/>
                <w:szCs w:val="16"/>
                <w:b w:val="1"/>
                <w:bCs w:val="1"/>
                <w:u w:val="single" w:color="auto"/>
                <w:color w:val="0000EE"/>
                <w:w w:val="95"/>
              </w:rPr>
            </w:pPr>
            <w:hyperlink w:anchor="page6">
              <w:r>
                <w:rPr>
                  <w:rFonts w:ascii="Arial" w:cs="Arial" w:eastAsia="Arial" w:hAnsi="Arial"/>
                  <w:sz w:val="16"/>
                  <w:szCs w:val="16"/>
                  <w:b w:val="1"/>
                  <w:bCs w:val="1"/>
                  <w:u w:val="single" w:color="auto"/>
                  <w:color w:val="0000EE"/>
                  <w:w w:val="95"/>
                </w:rPr>
                <w:t>PART I</w:t>
              </w:r>
            </w:hyperlink>
          </w:p>
        </w:tc>
        <w:tc>
          <w:tcPr>
            <w:tcW w:w="680" w:type="dxa"/>
            <w:vAlign w:val="bottom"/>
          </w:tcPr>
          <w:p>
            <w:pPr>
              <w:spacing w:after="0"/>
              <w:rPr>
                <w:sz w:val="24"/>
                <w:szCs w:val="24"/>
                <w:color w:val="auto"/>
              </w:rPr>
            </w:pPr>
          </w:p>
        </w:tc>
      </w:tr>
      <w:tr>
        <w:trPr>
          <w:trHeight w:val="370"/>
        </w:trPr>
        <w:tc>
          <w:tcPr>
            <w:tcW w:w="620" w:type="dxa"/>
            <w:vAlign w:val="bottom"/>
          </w:tcPr>
          <w:p>
            <w:pPr>
              <w:spacing w:after="0"/>
              <w:rPr>
                <w:sz w:val="20"/>
                <w:szCs w:val="20"/>
                <w:color w:val="auto"/>
              </w:rPr>
            </w:pPr>
            <w:r>
              <w:rPr>
                <w:rFonts w:ascii="Arial" w:cs="Arial" w:eastAsia="Arial" w:hAnsi="Arial"/>
                <w:sz w:val="16"/>
                <w:szCs w:val="16"/>
                <w:color w:val="auto"/>
              </w:rPr>
              <w:t>Item 1.</w:t>
            </w:r>
          </w:p>
        </w:tc>
        <w:tc>
          <w:tcPr>
            <w:tcW w:w="9960" w:type="dxa"/>
            <w:vAlign w:val="bottom"/>
          </w:tcPr>
          <w:p>
            <w:pPr>
              <w:ind w:left="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Business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6</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1A.</w:t>
            </w:r>
          </w:p>
        </w:tc>
        <w:tc>
          <w:tcPr>
            <w:tcW w:w="9960" w:type="dxa"/>
            <w:vAlign w:val="bottom"/>
          </w:tcPr>
          <w:p>
            <w:pPr>
              <w:ind w:left="6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Risk Factors</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1B.</w:t>
            </w:r>
          </w:p>
        </w:tc>
        <w:tc>
          <w:tcPr>
            <w:tcW w:w="9960" w:type="dxa"/>
            <w:vAlign w:val="bottom"/>
          </w:tcPr>
          <w:p>
            <w:pPr>
              <w:ind w:left="6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Unresolved Staff Comments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3">
              <w:r>
                <w:rPr>
                  <w:rFonts w:ascii="Arial" w:cs="Arial" w:eastAsia="Arial" w:hAnsi="Arial"/>
                  <w:sz w:val="16"/>
                  <w:szCs w:val="16"/>
                  <w:u w:val="single" w:color="auto"/>
                  <w:color w:val="0000EE"/>
                  <w:w w:val="89"/>
                </w:rPr>
                <w:t>83</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2.</w:t>
            </w:r>
          </w:p>
        </w:tc>
        <w:tc>
          <w:tcPr>
            <w:tcW w:w="9960" w:type="dxa"/>
            <w:vAlign w:val="bottom"/>
          </w:tcPr>
          <w:p>
            <w:pPr>
              <w:ind w:left="6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Properties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3">
              <w:r>
                <w:rPr>
                  <w:rFonts w:ascii="Arial" w:cs="Arial" w:eastAsia="Arial" w:hAnsi="Arial"/>
                  <w:sz w:val="16"/>
                  <w:szCs w:val="16"/>
                  <w:u w:val="single" w:color="auto"/>
                  <w:color w:val="0000EE"/>
                  <w:w w:val="89"/>
                </w:rPr>
                <w:t>83</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3.</w:t>
            </w:r>
          </w:p>
        </w:tc>
        <w:tc>
          <w:tcPr>
            <w:tcW w:w="9960" w:type="dxa"/>
            <w:vAlign w:val="bottom"/>
          </w:tcPr>
          <w:p>
            <w:pPr>
              <w:ind w:left="6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Legal Proceedings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3">
              <w:r>
                <w:rPr>
                  <w:rFonts w:ascii="Arial" w:cs="Arial" w:eastAsia="Arial" w:hAnsi="Arial"/>
                  <w:sz w:val="16"/>
                  <w:szCs w:val="16"/>
                  <w:u w:val="single" w:color="auto"/>
                  <w:color w:val="0000EE"/>
                  <w:w w:val="89"/>
                </w:rPr>
                <w:t>83</w:t>
              </w:r>
            </w:hyperlink>
          </w:p>
        </w:tc>
      </w:tr>
      <w:tr>
        <w:trPr>
          <w:trHeight w:val="204"/>
        </w:trPr>
        <w:tc>
          <w:tcPr>
            <w:tcW w:w="620" w:type="dxa"/>
            <w:vAlign w:val="bottom"/>
          </w:tcPr>
          <w:p>
            <w:pPr>
              <w:spacing w:after="0"/>
              <w:rPr>
                <w:sz w:val="20"/>
                <w:szCs w:val="20"/>
                <w:color w:val="auto"/>
              </w:rPr>
            </w:pPr>
            <w:r>
              <w:rPr>
                <w:rFonts w:ascii="Arial" w:cs="Arial" w:eastAsia="Arial" w:hAnsi="Arial"/>
                <w:sz w:val="16"/>
                <w:szCs w:val="16"/>
                <w:color w:val="auto"/>
              </w:rPr>
              <w:t>Item 4.</w:t>
            </w:r>
          </w:p>
        </w:tc>
        <w:tc>
          <w:tcPr>
            <w:tcW w:w="9960" w:type="dxa"/>
            <w:vAlign w:val="bottom"/>
          </w:tcPr>
          <w:p>
            <w:pPr>
              <w:ind w:left="6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Mine Safety Disclosures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3">
              <w:r>
                <w:rPr>
                  <w:rFonts w:ascii="Arial" w:cs="Arial" w:eastAsia="Arial" w:hAnsi="Arial"/>
                  <w:sz w:val="16"/>
                  <w:szCs w:val="16"/>
                  <w:u w:val="single" w:color="auto"/>
                  <w:color w:val="0000EE"/>
                  <w:w w:val="89"/>
                </w:rPr>
                <w:t>83</w:t>
              </w:r>
            </w:hyperlink>
          </w:p>
        </w:tc>
      </w:tr>
      <w:tr>
        <w:trPr>
          <w:trHeight w:val="382"/>
        </w:trPr>
        <w:tc>
          <w:tcPr>
            <w:tcW w:w="62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6"/>
                <w:szCs w:val="16"/>
                <w:b w:val="1"/>
                <w:bCs w:val="1"/>
                <w:u w:val="single" w:color="auto"/>
                <w:color w:val="0000EE"/>
              </w:rPr>
            </w:pPr>
            <w:hyperlink w:anchor="page84">
              <w:r>
                <w:rPr>
                  <w:rFonts w:ascii="Arial" w:cs="Arial" w:eastAsia="Arial" w:hAnsi="Arial"/>
                  <w:sz w:val="16"/>
                  <w:szCs w:val="16"/>
                  <w:b w:val="1"/>
                  <w:bCs w:val="1"/>
                  <w:u w:val="single" w:color="auto"/>
                  <w:color w:val="0000EE"/>
                </w:rPr>
                <w:t>PART II</w:t>
              </w:r>
            </w:hyperlink>
          </w:p>
        </w:tc>
        <w:tc>
          <w:tcPr>
            <w:tcW w:w="680" w:type="dxa"/>
            <w:vAlign w:val="bottom"/>
          </w:tcPr>
          <w:p>
            <w:pPr>
              <w:spacing w:after="0"/>
              <w:rPr>
                <w:sz w:val="24"/>
                <w:szCs w:val="24"/>
                <w:color w:val="auto"/>
              </w:rPr>
            </w:pPr>
          </w:p>
        </w:tc>
      </w:tr>
      <w:tr>
        <w:trPr>
          <w:trHeight w:val="370"/>
        </w:trPr>
        <w:tc>
          <w:tcPr>
            <w:tcW w:w="620" w:type="dxa"/>
            <w:vAlign w:val="bottom"/>
          </w:tcPr>
          <w:p>
            <w:pPr>
              <w:spacing w:after="0"/>
              <w:rPr>
                <w:sz w:val="20"/>
                <w:szCs w:val="20"/>
                <w:color w:val="auto"/>
              </w:rPr>
            </w:pPr>
            <w:r>
              <w:rPr>
                <w:rFonts w:ascii="Arial" w:cs="Arial" w:eastAsia="Arial" w:hAnsi="Arial"/>
                <w:sz w:val="16"/>
                <w:szCs w:val="16"/>
                <w:color w:val="auto"/>
              </w:rPr>
              <w:t>Item 5.</w:t>
            </w:r>
          </w:p>
        </w:tc>
        <w:tc>
          <w:tcPr>
            <w:tcW w:w="9960" w:type="dxa"/>
            <w:vAlign w:val="bottom"/>
          </w:tcPr>
          <w:p>
            <w:pPr>
              <w:ind w:left="6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Market for Registrant's Common Equity, Related Stockholder Matters, and Issuer Purchases of Equity Securities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4">
              <w:r>
                <w:rPr>
                  <w:rFonts w:ascii="Arial" w:cs="Arial" w:eastAsia="Arial" w:hAnsi="Arial"/>
                  <w:sz w:val="16"/>
                  <w:szCs w:val="16"/>
                  <w:u w:val="single" w:color="auto"/>
                  <w:color w:val="0000EE"/>
                  <w:w w:val="89"/>
                </w:rPr>
                <w:t>84</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6.</w:t>
            </w:r>
          </w:p>
        </w:tc>
        <w:tc>
          <w:tcPr>
            <w:tcW w:w="9960" w:type="dxa"/>
            <w:vAlign w:val="bottom"/>
          </w:tcPr>
          <w:p>
            <w:pPr>
              <w:ind w:left="6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Selected Financial Data</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4">
              <w:r>
                <w:rPr>
                  <w:rFonts w:ascii="Arial" w:cs="Arial" w:eastAsia="Arial" w:hAnsi="Arial"/>
                  <w:sz w:val="16"/>
                  <w:szCs w:val="16"/>
                  <w:u w:val="single" w:color="auto"/>
                  <w:color w:val="0000EE"/>
                  <w:w w:val="89"/>
                </w:rPr>
                <w:t>84</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7.</w:t>
            </w:r>
          </w:p>
        </w:tc>
        <w:tc>
          <w:tcPr>
            <w:tcW w:w="9960" w:type="dxa"/>
            <w:vAlign w:val="bottom"/>
          </w:tcPr>
          <w:p>
            <w:pPr>
              <w:ind w:left="6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Management's Discussion and Analysis of Financial Condition and Results of Operations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85">
              <w:r>
                <w:rPr>
                  <w:rFonts w:ascii="Arial" w:cs="Arial" w:eastAsia="Arial" w:hAnsi="Arial"/>
                  <w:sz w:val="16"/>
                  <w:szCs w:val="16"/>
                  <w:u w:val="single" w:color="auto"/>
                  <w:color w:val="0000EE"/>
                  <w:w w:val="89"/>
                </w:rPr>
                <w:t>85</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7A.</w:t>
            </w:r>
          </w:p>
        </w:tc>
        <w:tc>
          <w:tcPr>
            <w:tcW w:w="9960" w:type="dxa"/>
            <w:vAlign w:val="bottom"/>
          </w:tcPr>
          <w:p>
            <w:pPr>
              <w:ind w:left="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Quantitative and Qualitative Disclosures About Market Risk</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0">
              <w:r>
                <w:rPr>
                  <w:rFonts w:ascii="Arial" w:cs="Arial" w:eastAsia="Arial" w:hAnsi="Arial"/>
                  <w:sz w:val="16"/>
                  <w:szCs w:val="16"/>
                  <w:u w:val="single" w:color="auto"/>
                  <w:color w:val="0000EE"/>
                  <w:w w:val="89"/>
                </w:rPr>
                <w:t>110</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8.</w:t>
            </w:r>
          </w:p>
        </w:tc>
        <w:tc>
          <w:tcPr>
            <w:tcW w:w="9960" w:type="dxa"/>
            <w:vAlign w:val="bottom"/>
          </w:tcPr>
          <w:p>
            <w:pPr>
              <w:ind w:left="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Financial Statements and Supplementary Data</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0">
              <w:r>
                <w:rPr>
                  <w:rFonts w:ascii="Arial" w:cs="Arial" w:eastAsia="Arial" w:hAnsi="Arial"/>
                  <w:sz w:val="16"/>
                  <w:szCs w:val="16"/>
                  <w:u w:val="single" w:color="auto"/>
                  <w:color w:val="0000EE"/>
                  <w:w w:val="89"/>
                </w:rPr>
                <w:t>110</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9.</w:t>
            </w:r>
          </w:p>
        </w:tc>
        <w:tc>
          <w:tcPr>
            <w:tcW w:w="9960" w:type="dxa"/>
            <w:vAlign w:val="bottom"/>
          </w:tcPr>
          <w:p>
            <w:pPr>
              <w:ind w:left="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Changes in and Disagreements With Accountants on Accounting and Financial Disclosures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0">
              <w:r>
                <w:rPr>
                  <w:rFonts w:ascii="Arial" w:cs="Arial" w:eastAsia="Arial" w:hAnsi="Arial"/>
                  <w:sz w:val="16"/>
                  <w:szCs w:val="16"/>
                  <w:u w:val="single" w:color="auto"/>
                  <w:color w:val="0000EE"/>
                  <w:w w:val="89"/>
                </w:rPr>
                <w:t>110</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9A.</w:t>
            </w:r>
          </w:p>
        </w:tc>
        <w:tc>
          <w:tcPr>
            <w:tcW w:w="9960" w:type="dxa"/>
            <w:vAlign w:val="bottom"/>
          </w:tcPr>
          <w:p>
            <w:pPr>
              <w:ind w:left="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Controls and Procedures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0">
              <w:r>
                <w:rPr>
                  <w:rFonts w:ascii="Arial" w:cs="Arial" w:eastAsia="Arial" w:hAnsi="Arial"/>
                  <w:sz w:val="16"/>
                  <w:szCs w:val="16"/>
                  <w:u w:val="single" w:color="auto"/>
                  <w:color w:val="0000EE"/>
                  <w:w w:val="89"/>
                </w:rPr>
                <w:t>110</w:t>
              </w:r>
            </w:hyperlink>
          </w:p>
        </w:tc>
      </w:tr>
      <w:tr>
        <w:trPr>
          <w:trHeight w:val="204"/>
        </w:trPr>
        <w:tc>
          <w:tcPr>
            <w:tcW w:w="620" w:type="dxa"/>
            <w:vAlign w:val="bottom"/>
          </w:tcPr>
          <w:p>
            <w:pPr>
              <w:spacing w:after="0"/>
              <w:rPr>
                <w:sz w:val="20"/>
                <w:szCs w:val="20"/>
                <w:color w:val="auto"/>
              </w:rPr>
            </w:pPr>
            <w:r>
              <w:rPr>
                <w:rFonts w:ascii="Arial" w:cs="Arial" w:eastAsia="Arial" w:hAnsi="Arial"/>
                <w:sz w:val="16"/>
                <w:szCs w:val="16"/>
                <w:color w:val="auto"/>
              </w:rPr>
              <w:t>Item 9B.</w:t>
            </w:r>
          </w:p>
        </w:tc>
        <w:tc>
          <w:tcPr>
            <w:tcW w:w="9960" w:type="dxa"/>
            <w:vAlign w:val="bottom"/>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Other Information</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1">
              <w:r>
                <w:rPr>
                  <w:rFonts w:ascii="Arial" w:cs="Arial" w:eastAsia="Arial" w:hAnsi="Arial"/>
                  <w:sz w:val="16"/>
                  <w:szCs w:val="16"/>
                  <w:u w:val="single" w:color="auto"/>
                  <w:color w:val="0000EE"/>
                  <w:w w:val="89"/>
                </w:rPr>
                <w:t>111</w:t>
              </w:r>
            </w:hyperlink>
          </w:p>
        </w:tc>
      </w:tr>
      <w:tr>
        <w:trPr>
          <w:trHeight w:val="382"/>
        </w:trPr>
        <w:tc>
          <w:tcPr>
            <w:tcW w:w="62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6"/>
                <w:szCs w:val="16"/>
                <w:b w:val="1"/>
                <w:bCs w:val="1"/>
                <w:u w:val="single" w:color="auto"/>
                <w:color w:val="0000EE"/>
              </w:rPr>
            </w:pPr>
            <w:hyperlink w:anchor="page112">
              <w:r>
                <w:rPr>
                  <w:rFonts w:ascii="Arial" w:cs="Arial" w:eastAsia="Arial" w:hAnsi="Arial"/>
                  <w:sz w:val="16"/>
                  <w:szCs w:val="16"/>
                  <w:b w:val="1"/>
                  <w:bCs w:val="1"/>
                  <w:u w:val="single" w:color="auto"/>
                  <w:color w:val="0000EE"/>
                </w:rPr>
                <w:t>PART III</w:t>
              </w:r>
            </w:hyperlink>
          </w:p>
        </w:tc>
        <w:tc>
          <w:tcPr>
            <w:tcW w:w="680" w:type="dxa"/>
            <w:vAlign w:val="bottom"/>
          </w:tcPr>
          <w:p>
            <w:pPr>
              <w:spacing w:after="0"/>
              <w:rPr>
                <w:sz w:val="24"/>
                <w:szCs w:val="24"/>
                <w:color w:val="auto"/>
              </w:rPr>
            </w:pPr>
          </w:p>
        </w:tc>
      </w:tr>
      <w:tr>
        <w:trPr>
          <w:trHeight w:val="370"/>
        </w:trPr>
        <w:tc>
          <w:tcPr>
            <w:tcW w:w="620" w:type="dxa"/>
            <w:vAlign w:val="bottom"/>
          </w:tcPr>
          <w:p>
            <w:pPr>
              <w:spacing w:after="0"/>
              <w:rPr>
                <w:sz w:val="20"/>
                <w:szCs w:val="20"/>
                <w:color w:val="auto"/>
              </w:rPr>
            </w:pPr>
            <w:r>
              <w:rPr>
                <w:rFonts w:ascii="Arial" w:cs="Arial" w:eastAsia="Arial" w:hAnsi="Arial"/>
                <w:sz w:val="16"/>
                <w:szCs w:val="16"/>
                <w:color w:val="auto"/>
              </w:rPr>
              <w:t>Item 10.</w:t>
            </w:r>
          </w:p>
        </w:tc>
        <w:tc>
          <w:tcPr>
            <w:tcW w:w="996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Directors, Executive Officers and Corporate Governance</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2">
              <w:r>
                <w:rPr>
                  <w:rFonts w:ascii="Arial" w:cs="Arial" w:eastAsia="Arial" w:hAnsi="Arial"/>
                  <w:sz w:val="16"/>
                  <w:szCs w:val="16"/>
                  <w:u w:val="single" w:color="auto"/>
                  <w:color w:val="0000EE"/>
                  <w:w w:val="89"/>
                </w:rPr>
                <w:t>112</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11.</w:t>
            </w:r>
          </w:p>
        </w:tc>
        <w:tc>
          <w:tcPr>
            <w:tcW w:w="996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Executive Compensation</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2">
              <w:r>
                <w:rPr>
                  <w:rFonts w:ascii="Arial" w:cs="Arial" w:eastAsia="Arial" w:hAnsi="Arial"/>
                  <w:sz w:val="16"/>
                  <w:szCs w:val="16"/>
                  <w:u w:val="single" w:color="auto"/>
                  <w:color w:val="0000EE"/>
                  <w:w w:val="89"/>
                </w:rPr>
                <w:t>112</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12.</w:t>
            </w:r>
          </w:p>
        </w:tc>
        <w:tc>
          <w:tcPr>
            <w:tcW w:w="996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Security Ownership of Certain Beneficial Owners and Management and Related Stockholder Matters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2">
              <w:r>
                <w:rPr>
                  <w:rFonts w:ascii="Arial" w:cs="Arial" w:eastAsia="Arial" w:hAnsi="Arial"/>
                  <w:sz w:val="16"/>
                  <w:szCs w:val="16"/>
                  <w:u w:val="single" w:color="auto"/>
                  <w:color w:val="0000EE"/>
                  <w:w w:val="89"/>
                </w:rPr>
                <w:t>112</w:t>
              </w:r>
            </w:hyperlink>
          </w:p>
        </w:tc>
      </w:tr>
      <w:tr>
        <w:trPr>
          <w:trHeight w:val="191"/>
        </w:trPr>
        <w:tc>
          <w:tcPr>
            <w:tcW w:w="620" w:type="dxa"/>
            <w:vAlign w:val="bottom"/>
          </w:tcPr>
          <w:p>
            <w:pPr>
              <w:spacing w:after="0"/>
              <w:rPr>
                <w:sz w:val="20"/>
                <w:szCs w:val="20"/>
                <w:color w:val="auto"/>
              </w:rPr>
            </w:pPr>
            <w:r>
              <w:rPr>
                <w:rFonts w:ascii="Arial" w:cs="Arial" w:eastAsia="Arial" w:hAnsi="Arial"/>
                <w:sz w:val="16"/>
                <w:szCs w:val="16"/>
                <w:color w:val="auto"/>
              </w:rPr>
              <w:t>Item 13.</w:t>
            </w:r>
          </w:p>
        </w:tc>
        <w:tc>
          <w:tcPr>
            <w:tcW w:w="996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Certain Relationships and Related Transactions, and Director Independence</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2">
              <w:r>
                <w:rPr>
                  <w:rFonts w:ascii="Arial" w:cs="Arial" w:eastAsia="Arial" w:hAnsi="Arial"/>
                  <w:sz w:val="16"/>
                  <w:szCs w:val="16"/>
                  <w:u w:val="single" w:color="auto"/>
                  <w:color w:val="0000EE"/>
                  <w:w w:val="89"/>
                </w:rPr>
                <w:t>112</w:t>
              </w:r>
            </w:hyperlink>
          </w:p>
        </w:tc>
      </w:tr>
      <w:tr>
        <w:trPr>
          <w:trHeight w:val="204"/>
        </w:trPr>
        <w:tc>
          <w:tcPr>
            <w:tcW w:w="620" w:type="dxa"/>
            <w:vAlign w:val="bottom"/>
          </w:tcPr>
          <w:p>
            <w:pPr>
              <w:spacing w:after="0"/>
              <w:rPr>
                <w:sz w:val="20"/>
                <w:szCs w:val="20"/>
                <w:color w:val="auto"/>
              </w:rPr>
            </w:pPr>
            <w:r>
              <w:rPr>
                <w:rFonts w:ascii="Arial" w:cs="Arial" w:eastAsia="Arial" w:hAnsi="Arial"/>
                <w:sz w:val="16"/>
                <w:szCs w:val="16"/>
                <w:color w:val="auto"/>
              </w:rPr>
              <w:t>Item 14.</w:t>
            </w:r>
          </w:p>
        </w:tc>
        <w:tc>
          <w:tcPr>
            <w:tcW w:w="996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Principal Accounting Fees and Services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2">
              <w:r>
                <w:rPr>
                  <w:rFonts w:ascii="Arial" w:cs="Arial" w:eastAsia="Arial" w:hAnsi="Arial"/>
                  <w:sz w:val="16"/>
                  <w:szCs w:val="16"/>
                  <w:u w:val="single" w:color="auto"/>
                  <w:color w:val="0000EE"/>
                  <w:w w:val="89"/>
                </w:rPr>
                <w:t>112</w:t>
              </w:r>
            </w:hyperlink>
          </w:p>
        </w:tc>
      </w:tr>
      <w:tr>
        <w:trPr>
          <w:trHeight w:val="382"/>
        </w:trPr>
        <w:tc>
          <w:tcPr>
            <w:tcW w:w="62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6"/>
                <w:szCs w:val="16"/>
                <w:b w:val="1"/>
                <w:bCs w:val="1"/>
                <w:u w:val="single" w:color="auto"/>
                <w:color w:val="0000EE"/>
                <w:w w:val="98"/>
              </w:rPr>
            </w:pPr>
            <w:hyperlink w:anchor="page113">
              <w:r>
                <w:rPr>
                  <w:rFonts w:ascii="Arial" w:cs="Arial" w:eastAsia="Arial" w:hAnsi="Arial"/>
                  <w:sz w:val="16"/>
                  <w:szCs w:val="16"/>
                  <w:b w:val="1"/>
                  <w:bCs w:val="1"/>
                  <w:u w:val="single" w:color="auto"/>
                  <w:color w:val="0000EE"/>
                  <w:w w:val="98"/>
                </w:rPr>
                <w:t>PART IV</w:t>
              </w:r>
            </w:hyperlink>
          </w:p>
        </w:tc>
        <w:tc>
          <w:tcPr>
            <w:tcW w:w="680" w:type="dxa"/>
            <w:vAlign w:val="bottom"/>
          </w:tcPr>
          <w:p>
            <w:pPr>
              <w:spacing w:after="0"/>
              <w:rPr>
                <w:sz w:val="24"/>
                <w:szCs w:val="24"/>
                <w:color w:val="auto"/>
              </w:rPr>
            </w:pPr>
          </w:p>
        </w:tc>
      </w:tr>
      <w:tr>
        <w:trPr>
          <w:trHeight w:val="370"/>
        </w:trPr>
        <w:tc>
          <w:tcPr>
            <w:tcW w:w="620" w:type="dxa"/>
            <w:vAlign w:val="bottom"/>
          </w:tcPr>
          <w:p>
            <w:pPr>
              <w:spacing w:after="0"/>
              <w:rPr>
                <w:sz w:val="20"/>
                <w:szCs w:val="20"/>
                <w:color w:val="auto"/>
              </w:rPr>
            </w:pPr>
            <w:r>
              <w:rPr>
                <w:rFonts w:ascii="Arial" w:cs="Arial" w:eastAsia="Arial" w:hAnsi="Arial"/>
                <w:sz w:val="16"/>
                <w:szCs w:val="16"/>
                <w:color w:val="auto"/>
              </w:rPr>
              <w:t>Item 15.</w:t>
            </w:r>
          </w:p>
        </w:tc>
        <w:tc>
          <w:tcPr>
            <w:tcW w:w="9960" w:type="dxa"/>
            <w:vAlign w:val="bottom"/>
          </w:tcPr>
          <w:p>
            <w:pPr>
              <w:ind w:left="60"/>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Exhibits and Financial Statement Schedules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13">
              <w:r>
                <w:rPr>
                  <w:rFonts w:ascii="Arial" w:cs="Arial" w:eastAsia="Arial" w:hAnsi="Arial"/>
                  <w:sz w:val="16"/>
                  <w:szCs w:val="16"/>
                  <w:u w:val="single" w:color="auto"/>
                  <w:color w:val="0000EE"/>
                  <w:w w:val="89"/>
                </w:rPr>
                <w:t>113</w:t>
              </w:r>
            </w:hyperlink>
          </w:p>
        </w:tc>
      </w:tr>
      <w:tr>
        <w:trPr>
          <w:trHeight w:val="204"/>
        </w:trPr>
        <w:tc>
          <w:tcPr>
            <w:tcW w:w="620" w:type="dxa"/>
            <w:vAlign w:val="bottom"/>
          </w:tcPr>
          <w:p>
            <w:pPr>
              <w:spacing w:after="0"/>
              <w:rPr>
                <w:sz w:val="17"/>
                <w:szCs w:val="17"/>
                <w:color w:val="auto"/>
              </w:rPr>
            </w:pPr>
          </w:p>
        </w:tc>
        <w:tc>
          <w:tcPr>
            <w:tcW w:w="9960" w:type="dxa"/>
            <w:vAlign w:val="bottom"/>
          </w:tcPr>
          <w:p>
            <w:pPr>
              <w:ind w:left="60"/>
              <w:spacing w:after="0"/>
              <w:rPr>
                <w:rFonts w:ascii="Arial" w:cs="Arial" w:eastAsia="Arial" w:hAnsi="Arial"/>
                <w:sz w:val="16"/>
                <w:szCs w:val="16"/>
                <w:u w:val="single" w:color="auto"/>
                <w:color w:val="0000EE"/>
              </w:rPr>
            </w:pPr>
            <w:hyperlink w:anchor="page166">
              <w:r>
                <w:rPr>
                  <w:rFonts w:ascii="Arial" w:cs="Arial" w:eastAsia="Arial" w:hAnsi="Arial"/>
                  <w:sz w:val="16"/>
                  <w:szCs w:val="16"/>
                  <w:u w:val="single" w:color="auto"/>
                  <w:color w:val="0000EE"/>
                </w:rPr>
                <w:t>Signatures</w:t>
              </w:r>
            </w:hyperlink>
          </w:p>
        </w:tc>
        <w:tc>
          <w:tcPr>
            <w:tcW w:w="680" w:type="dxa"/>
            <w:vAlign w:val="bottom"/>
          </w:tcPr>
          <w:p>
            <w:pPr>
              <w:jc w:val="center"/>
              <w:spacing w:after="0"/>
              <w:rPr>
                <w:rFonts w:ascii="Arial" w:cs="Arial" w:eastAsia="Arial" w:hAnsi="Arial"/>
                <w:sz w:val="16"/>
                <w:szCs w:val="16"/>
                <w:u w:val="single" w:color="auto"/>
                <w:color w:val="0000EE"/>
                <w:w w:val="89"/>
              </w:rPr>
            </w:pPr>
            <w:hyperlink w:anchor="page166">
              <w:r>
                <w:rPr>
                  <w:rFonts w:ascii="Arial" w:cs="Arial" w:eastAsia="Arial" w:hAnsi="Arial"/>
                  <w:sz w:val="16"/>
                  <w:szCs w:val="16"/>
                  <w:u w:val="single" w:color="auto"/>
                  <w:color w:val="0000EE"/>
                  <w:w w:val="89"/>
                </w:rPr>
                <w:t>166</w:t>
              </w:r>
            </w:hyperlink>
          </w:p>
        </w:tc>
      </w:tr>
      <w:tr>
        <w:trPr>
          <w:trHeight w:val="506"/>
        </w:trPr>
        <w:tc>
          <w:tcPr>
            <w:tcW w:w="62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4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4"/>
          <w:szCs w:val="14"/>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44" w:lineRule="exact"/>
        <w:rPr>
          <w:sz w:val="20"/>
          <w:szCs w:val="20"/>
          <w:color w:val="auto"/>
        </w:rPr>
      </w:pPr>
    </w:p>
    <w:p>
      <w:pPr>
        <w:ind w:left="440" w:right="20" w:hanging="217"/>
        <w:spacing w:after="0" w:line="183" w:lineRule="auto"/>
        <w:tabs>
          <w:tab w:leader="none" w:pos="440" w:val="left"/>
        </w:tabs>
        <w:numPr>
          <w:ilvl w:val="0"/>
          <w:numId w:val="3"/>
        </w:numPr>
        <w:rPr>
          <w:rFonts w:ascii="Arial" w:cs="Arial" w:eastAsia="Arial" w:hAnsi="Arial"/>
          <w:sz w:val="30"/>
          <w:szCs w:val="30"/>
          <w:color w:val="auto"/>
          <w:vertAlign w:val="subscript"/>
        </w:rPr>
      </w:pPr>
      <w:r>
        <w:rPr>
          <w:rFonts w:ascii="Arial" w:cs="Arial" w:eastAsia="Arial" w:hAnsi="Arial"/>
          <w:sz w:val="15"/>
          <w:szCs w:val="15"/>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progress of, timing of and expected amount of expenses associated with our research, development and commercialization activities;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ability to raise additional funds on commercially reasonable terms, or at all, in order to support our continued operations;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sufficiency of our cash resources to fund our operating expenses and capital investment requirements for any period;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expected timing of our clinical trials for our product candidates and the availability of data and results of those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expectations regarding federal, state and foreign regulatory requirements;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potential therapeutic benefits and effectiveness of our products and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size and characteristics of the markets that may be addressed by our products and product candidates;</w:t>
      </w:r>
    </w:p>
    <w:p>
      <w:pPr>
        <w:spacing w:after="0" w:line="198"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intention to seek to establish, and the potential benefits to us from, any strategic collaborations or partnerships for the development or sale of our products and product candidates;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expectations as to future financial performance, expense levels and liquidity sources;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timing of commercializing our products and product candidates;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other factors discussed elsewhere in this report.</w:t>
      </w:r>
    </w:p>
    <w:p>
      <w:pPr>
        <w:spacing w:after="0" w:line="19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RISK FACTORS SUMMARY</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62" w:lineRule="exact"/>
        <w:rPr>
          <w:sz w:val="20"/>
          <w:szCs w:val="20"/>
          <w:color w:val="auto"/>
        </w:rPr>
      </w:pPr>
    </w:p>
    <w:p>
      <w:pPr>
        <w:ind w:left="440" w:hanging="217"/>
        <w:spacing w:after="0" w:line="275"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51" w:lineRule="exact"/>
        <w:rPr>
          <w:rFonts w:ascii="Arial" w:cs="Arial" w:eastAsia="Arial" w:hAnsi="Arial"/>
          <w:sz w:val="16"/>
          <w:szCs w:val="16"/>
          <w:color w:val="auto"/>
        </w:rPr>
      </w:pPr>
    </w:p>
    <w:p>
      <w:pPr>
        <w:ind w:left="440" w:right="20" w:hanging="217"/>
        <w:spacing w:after="0" w:line="183" w:lineRule="auto"/>
        <w:tabs>
          <w:tab w:leader="none" w:pos="440" w:val="left"/>
        </w:tabs>
        <w:numPr>
          <w:ilvl w:val="0"/>
          <w:numId w:val="4"/>
        </w:numPr>
        <w:rPr>
          <w:rFonts w:ascii="Arial" w:cs="Arial" w:eastAsia="Arial" w:hAnsi="Arial"/>
          <w:sz w:val="30"/>
          <w:szCs w:val="30"/>
          <w:color w:val="auto"/>
          <w:vertAlign w:val="subscript"/>
        </w:rPr>
      </w:pPr>
      <w:r>
        <w:rPr>
          <w:rFonts w:ascii="Arial" w:cs="Arial" w:eastAsia="Arial" w:hAnsi="Arial"/>
          <w:sz w:val="15"/>
          <w:szCs w:val="15"/>
          <w:i w:val="1"/>
          <w:iCs w:val="1"/>
          <w:color w:val="auto"/>
        </w:rPr>
        <w:t>If commercialization of AZSTARYS, APADAZ or our other product candidates is not successful, or we experience significant delays in commercialization, our business will be harmed.</w:t>
      </w:r>
    </w:p>
    <w:p>
      <w:pPr>
        <w:spacing w:after="0" w:line="179" w:lineRule="exact"/>
        <w:rPr>
          <w:rFonts w:ascii="Arial" w:cs="Arial" w:eastAsia="Arial" w:hAnsi="Arial"/>
          <w:sz w:val="30"/>
          <w:szCs w:val="30"/>
          <w:color w:val="auto"/>
          <w:vertAlign w:val="subscript"/>
        </w:rPr>
      </w:pPr>
    </w:p>
    <w:p>
      <w:pPr>
        <w:ind w:left="440" w:hanging="217"/>
        <w:spacing w:after="0" w:line="183" w:lineRule="auto"/>
        <w:tabs>
          <w:tab w:leader="none" w:pos="440" w:val="left"/>
        </w:tabs>
        <w:numPr>
          <w:ilvl w:val="0"/>
          <w:numId w:val="4"/>
        </w:numPr>
        <w:rPr>
          <w:rFonts w:ascii="Arial" w:cs="Arial" w:eastAsia="Arial" w:hAnsi="Arial"/>
          <w:sz w:val="30"/>
          <w:szCs w:val="30"/>
          <w:color w:val="auto"/>
          <w:vertAlign w:val="subscript"/>
        </w:rPr>
      </w:pPr>
      <w:r>
        <w:rPr>
          <w:rFonts w:ascii="Arial" w:cs="Arial" w:eastAsia="Arial" w:hAnsi="Arial"/>
          <w:sz w:val="15"/>
          <w:szCs w:val="15"/>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79" w:lineRule="exact"/>
        <w:rPr>
          <w:rFonts w:ascii="Arial" w:cs="Arial" w:eastAsia="Arial" w:hAnsi="Arial"/>
          <w:sz w:val="30"/>
          <w:szCs w:val="30"/>
          <w:color w:val="auto"/>
          <w:vertAlign w:val="subscript"/>
        </w:rPr>
      </w:pPr>
    </w:p>
    <w:p>
      <w:pPr>
        <w:ind w:left="440" w:hanging="217"/>
        <w:spacing w:after="0" w:line="183" w:lineRule="auto"/>
        <w:tabs>
          <w:tab w:leader="none" w:pos="440" w:val="left"/>
        </w:tabs>
        <w:numPr>
          <w:ilvl w:val="0"/>
          <w:numId w:val="4"/>
        </w:numPr>
        <w:rPr>
          <w:rFonts w:ascii="Arial" w:cs="Arial" w:eastAsia="Arial" w:hAnsi="Arial"/>
          <w:sz w:val="30"/>
          <w:szCs w:val="30"/>
          <w:color w:val="auto"/>
          <w:vertAlign w:val="subscript"/>
        </w:rPr>
      </w:pPr>
      <w:r>
        <w:rPr>
          <w:rFonts w:ascii="Arial" w:cs="Arial" w:eastAsia="Arial" w:hAnsi="Arial"/>
          <w:sz w:val="15"/>
          <w:szCs w:val="15"/>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79" w:lineRule="exact"/>
        <w:rPr>
          <w:rFonts w:ascii="Arial" w:cs="Arial" w:eastAsia="Arial" w:hAnsi="Arial"/>
          <w:sz w:val="30"/>
          <w:szCs w:val="30"/>
          <w:color w:val="auto"/>
          <w:vertAlign w:val="subscript"/>
        </w:rPr>
      </w:pPr>
    </w:p>
    <w:p>
      <w:pPr>
        <w:ind w:left="440" w:right="20" w:hanging="217"/>
        <w:spacing w:after="0" w:line="183" w:lineRule="auto"/>
        <w:tabs>
          <w:tab w:leader="none" w:pos="440" w:val="left"/>
        </w:tabs>
        <w:numPr>
          <w:ilvl w:val="0"/>
          <w:numId w:val="4"/>
        </w:numPr>
        <w:rPr>
          <w:rFonts w:ascii="Arial" w:cs="Arial" w:eastAsia="Arial" w:hAnsi="Arial"/>
          <w:sz w:val="30"/>
          <w:szCs w:val="30"/>
          <w:color w:val="auto"/>
          <w:vertAlign w:val="subscript"/>
        </w:rPr>
      </w:pPr>
      <w:r>
        <w:rPr>
          <w:rFonts w:ascii="Arial" w:cs="Arial" w:eastAsia="Arial" w:hAnsi="Arial"/>
          <w:sz w:val="15"/>
          <w:szCs w:val="15"/>
          <w:i w:val="1"/>
          <w:iCs w:val="1"/>
          <w:color w:val="auto"/>
        </w:rPr>
        <w:t>We have incurred significant recurring negative net operating losses since our inception. We expect to incur operating losses over the next several years and may never achieve or maintain profitability.</w:t>
      </w:r>
    </w:p>
    <w:p>
      <w:pPr>
        <w:spacing w:after="0" w:line="179" w:lineRule="exact"/>
        <w:rPr>
          <w:rFonts w:ascii="Arial" w:cs="Arial" w:eastAsia="Arial" w:hAnsi="Arial"/>
          <w:sz w:val="30"/>
          <w:szCs w:val="30"/>
          <w:color w:val="auto"/>
          <w:vertAlign w:val="subscript"/>
        </w:rPr>
      </w:pPr>
    </w:p>
    <w:p>
      <w:pPr>
        <w:jc w:val="both"/>
        <w:ind w:left="440" w:right="20" w:hanging="217"/>
        <w:spacing w:after="0" w:line="287"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If we are unable to obtain and maintain trade secret protection or patent protection for our technology, AZSTARYS, KP879 and our other product candidates, or if the scope of the patent protection obtained is not sufficiently broad, our competitors could develop and commercialize technology and drugs similar or identical to ours, and our ability to successfully commercialize our technology, AZSTARYS, KP879 and our other product candidates, if approved, may be impaired.</w:t>
      </w:r>
    </w:p>
    <w:p>
      <w:pPr>
        <w:spacing w:after="0" w:line="146" w:lineRule="exact"/>
        <w:rPr>
          <w:rFonts w:ascii="Arial" w:cs="Arial" w:eastAsia="Arial" w:hAnsi="Arial"/>
          <w:sz w:val="15"/>
          <w:szCs w:val="15"/>
          <w:color w:val="auto"/>
        </w:rPr>
      </w:pPr>
    </w:p>
    <w:p>
      <w:pPr>
        <w:jc w:val="both"/>
        <w:ind w:left="440" w:hanging="217"/>
        <w:spacing w:after="0" w:line="306" w:lineRule="auto"/>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If we, subject to the approval of Commave Therapeutics, S.A.,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34" w:lineRule="exact"/>
        <w:rPr>
          <w:rFonts w:ascii="Arial" w:cs="Arial" w:eastAsia="Arial" w:hAnsi="Arial"/>
          <w:sz w:val="14"/>
          <w:szCs w:val="14"/>
          <w:color w:val="auto"/>
        </w:rPr>
      </w:pPr>
    </w:p>
    <w:p>
      <w:pPr>
        <w:ind w:left="440" w:hanging="217"/>
        <w:spacing w:after="0" w:line="183" w:lineRule="auto"/>
        <w:tabs>
          <w:tab w:leader="none" w:pos="440" w:val="left"/>
        </w:tabs>
        <w:numPr>
          <w:ilvl w:val="0"/>
          <w:numId w:val="4"/>
        </w:numPr>
        <w:rPr>
          <w:rFonts w:ascii="Arial" w:cs="Arial" w:eastAsia="Arial" w:hAnsi="Arial"/>
          <w:sz w:val="30"/>
          <w:szCs w:val="30"/>
          <w:color w:val="auto"/>
          <w:vertAlign w:val="subscript"/>
        </w:rPr>
      </w:pPr>
      <w:r>
        <w:rPr>
          <w:rFonts w:ascii="Arial" w:cs="Arial" w:eastAsia="Arial" w:hAnsi="Arial"/>
          <w:sz w:val="15"/>
          <w:szCs w:val="15"/>
          <w:i w:val="1"/>
          <w:iCs w:val="1"/>
          <w:color w:val="auto"/>
        </w:rPr>
        <w:t>The FDA may determine that any NDA we may submit under the 505(b)(2) regulatory pathway for any of our product candidates in the future is not sufficiently complete to permit a substantive review.</w:t>
      </w:r>
    </w:p>
    <w:p>
      <w:pPr>
        <w:spacing w:after="0" w:line="179" w:lineRule="exact"/>
        <w:rPr>
          <w:rFonts w:ascii="Arial" w:cs="Arial" w:eastAsia="Arial" w:hAnsi="Arial"/>
          <w:sz w:val="30"/>
          <w:szCs w:val="30"/>
          <w:color w:val="auto"/>
          <w:vertAlign w:val="subscript"/>
        </w:rPr>
      </w:pPr>
    </w:p>
    <w:p>
      <w:pPr>
        <w:jc w:val="both"/>
        <w:ind w:left="440" w:right="20" w:hanging="217"/>
        <w:spacing w:after="0" w:line="287"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We have entered into collaborations with Commave to develop, manufacture and commercialize AZSTARYS and KP484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KP484 or other product candidates, if approved.</w:t>
      </w:r>
    </w:p>
    <w:p>
      <w:pPr>
        <w:spacing w:after="0" w:line="146" w:lineRule="exact"/>
        <w:rPr>
          <w:rFonts w:ascii="Arial" w:cs="Arial" w:eastAsia="Arial" w:hAnsi="Arial"/>
          <w:sz w:val="15"/>
          <w:szCs w:val="15"/>
          <w:color w:val="auto"/>
        </w:rPr>
      </w:pPr>
    </w:p>
    <w:p>
      <w:pPr>
        <w:ind w:left="440" w:hanging="217"/>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trading price of the shares of our common stock is likely to be volatile, and purchasers of our common stock could incur substantial losses.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COMPANY REFERENCE</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Unless the context otherwise requires, we use the terms “KemPharm,” “Company,” “we,” “us” and “our” in this Annual Report on Form 10-K to refer to KemPharm, Inc. We have proprietary rights to a number of trademarks used in this Annual Report on Form 10-K that are important to our business, including KemPharm, LAT and the KemPharm logo. All other trademarks, trade names and service marks appearing in this Annual Report on Form 10-K are the property of their respective owners. Solely for convenience, the trademarks and trade names in this Annual Report on Form 10-K are referred to without the ® and ™ symbols, but such references should not be construed as any indicator that their respective owners will not assert, to the fullest extent under applicable law, their rights thereto.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MARKET AND INDUSTRY DATA</w:t>
      </w:r>
    </w:p>
    <w:p>
      <w:pPr>
        <w:spacing w:after="0" w:line="20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i w:val="1"/>
          <w:iCs w:val="1"/>
          <w:color w:val="auto"/>
        </w:rPr>
        <w:t>This Annual Report on Form 10-K contains statistical data, estimates and forecasts that are based on independent industry publications or other publicly available information, as well as other information based on our internal sources. While we believe the industry and market data included in this Annual Report on Form 10-K is reliable and is based on reasonable assumptions, this data involves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and “Special Note Regarding Forward-Looking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are a specialty pharmaceutical company focused on the discovery and development of proprietary prodrugs to treat serious medical conditions through our proprietary Ligand Activated Therapy, or LAT</w:t>
      </w:r>
      <w:r>
        <w:rPr>
          <w:rFonts w:ascii="Arial" w:cs="Arial" w:eastAsia="Arial" w:hAnsi="Arial"/>
          <w:sz w:val="25"/>
          <w:szCs w:val="25"/>
          <w:color w:val="auto"/>
          <w:vertAlign w:val="superscript"/>
        </w:rPr>
        <w:t>®</w:t>
      </w:r>
      <w:r>
        <w:rPr>
          <w:rFonts w:ascii="Arial" w:cs="Arial" w:eastAsia="Arial" w:hAnsi="Arial"/>
          <w:sz w:val="15"/>
          <w:szCs w:val="15"/>
          <w:color w:val="auto"/>
        </w:rPr>
        <w:t>, technology. We utilize our proprietary LAT technology to generate improved prodrug versions of drugs approved by the U.S. Food and Drug Administration, or FDA, as well as to generate prodrug versions of existing compounds that may have applications for new disease indications. Our product candidate pipeline is focused on the high need areas of attention deficit hyperactivity disorder, or ADHD, and stimulant use disorder, or SUD, and idiopathic hypersomnia, or IH. Our newly approved product, AZSTARYS™, formerly referred to as KP415, and KP484, are both based on a prodrug of d-methylphenidate, or d-MPH, but with differing extended-release, or ER, effect profiles, and are intended for the treatment of ADHD. Our lead clinical development product candidate, KP879, is also based on a prodrug of d-MPH and is intended for the treatment of stimulant use disorder, or SUD. Our preclinical prodrug product candidate for the treatment of ideopathic hypersomnia, or IH, is KP1077. We have entered into a collaboration and license agreement with Commave Therapeutics SA (formerly known as Boston Pharmaceuticals S.A.), an affiliate of Gurnet Point Capital, or Commave, for the development, manufacture and commercialization of AZSTARYS, and any other of our product candidates containing serdexmethylphenidate, or SDX, and d-MPH. In addition, we have entered into a commercial partnership with KVK-Tech, Inc., or KVK, for APADAZ</w:t>
      </w:r>
      <w:r>
        <w:rPr>
          <w:rFonts w:ascii="Arial" w:cs="Arial" w:eastAsia="Arial" w:hAnsi="Arial"/>
          <w:sz w:val="25"/>
          <w:szCs w:val="25"/>
          <w:color w:val="auto"/>
          <w:vertAlign w:val="superscript"/>
        </w:rPr>
        <w:t>®</w:t>
      </w:r>
      <w:r>
        <w:rPr>
          <w:rFonts w:ascii="Arial" w:cs="Arial" w:eastAsia="Arial" w:hAnsi="Arial"/>
          <w:sz w:val="15"/>
          <w:szCs w:val="15"/>
          <w:color w:val="auto"/>
        </w:rPr>
        <w:t>, an FDA approved immediate-release, or IR, combination product of benzhydrocodone, our prodrug of hydrocodone, and acetaminophen, or APAP, for the short-term (no more than 14 days) management of acute pain severe enough to require an opioid analgesic and for which alternative treatments are inadequate.</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March 2, 2021, we announced that the FDA approved the NDA for AZSTARYS, a once-daily product for the treatment of ADHD in patients ranging from six years and older. Corium will lead the commercialization of AZSTARYS per the KP415 License Agreement. Corium expects to make AZSTARYS commercially available in the U.S. as early as the second half of 2021.</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July 2020, we entered into a consultation services arrangement, or the Corium Consulting Agreement, with Corium, Inc., or Corium, under which Corium engaged us to guide the product development and regulatory activities for certain current and potential future products in Corium’s portfolio, as well as to continue supporting preparation for the potential commercial launch of AZSTARYS. Corium is a portfolio company of Gurnet Point Capital and has been tasked with leading all commercialization activities for AZSTARYS under the KP415 License Agreement.</w:t>
      </w:r>
    </w:p>
    <w:p>
      <w:pPr>
        <w:spacing w:after="0" w:line="16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September 2019, we entered into our collaboration and license agreement, or the KP415 License Agreement, with Commave, for the development, manufacture and commercialization of our product candidates containing SDX and d-MPH, including AZSTARYS and KP484. In addition, the KP415 License Agreement provides Commave a right of first negotiation upon the completion of a Phase 1 proof-of-concept study for KP879, KP922 or any other product candidate developed by us containing SDX and intended to treat ADHD or any other central nervous system disorder.</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October 2018, we entered into our collaboration and license agreement, or the APADAZ License Agreement, with KVK. Under the APADAZ License Agreement, we granted an exclusive license to KVK to conduct regulatory activities for, manufacture and commercialize APADAZ in the United States. In collaboration with KVK, APADAZ was first available for sale nationally beginning in November 2019. In December 2020, KVK, began a regional pilot launch of APADAZ in the state of Alabama, with plans to expand into additional geographic regions during 2021.</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employ our proprietary LAT technology to discover and develop prodrugs that are new molecules that can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Federal Food, Drug and Cosmetic Act, or the FFDCA, otherwise known as a 505(b)(2) NDA, which allows us to rely on the FDA’s previous findings of safety and effectiveness for one or more approved products, if we demonstrate such reliance is scientifically appropriate.</w:t>
      </w:r>
    </w:p>
    <w:p>
      <w:pPr>
        <w:spacing w:after="0" w:line="138"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We intend to advance our pipeline of product candidates for the treatment of ADHD, SUD and IH, and we anticipate initiating a Phase 1 proof-of-concept study for KP879 in 2021. We plan to employ our LAT technology and development expertise to develop additional product candidates that address significant unmet medical needs in therapeutic indications which have few existing product options. We believe our product candidates may be eligible for composition-of-matter patent protection and we intend to use the 505(b)(2) NDA pathway when available, which we believe has the potential to reduce drug development time, risk and expense.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Our Proprietary LAT Technology</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employ our proprietary LAT technology to create prodrugs that are new molecules by chemically attaching one or more molecules, referred to as ligands, to an FDA-approved parent drug. We typically use ligands that have been demonstrated to be safe in toxicological studies or have been granted Generally Recognized as Safe, or GRAS, status by the FDA. When the prodrug is administered, human metabolic processes, such as those in the gastrointestinal, or GI, tract, separate the ligand from the prodrug and release the parent drug, which can then exert its therapeutic effect. We select ligands that, when combined with the parent drug, create prodrugs believed to have improved drug attributes while maintaining efficacy potentially equivalent to the parent drug.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proprietary LAT technology offers the following potential benefits:</w:t>
      </w:r>
    </w:p>
    <w:p>
      <w:pPr>
        <w:spacing w:after="0" w:line="198" w:lineRule="exact"/>
        <w:rPr>
          <w:sz w:val="20"/>
          <w:szCs w:val="20"/>
          <w:color w:val="auto"/>
        </w:rPr>
      </w:pPr>
    </w:p>
    <w:p>
      <w:pPr>
        <w:ind w:left="440" w:hanging="217"/>
        <w:spacing w:after="0" w:line="275"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Improved drug properties. </w:t>
      </w:r>
      <w:r>
        <w:rPr>
          <w:rFonts w:ascii="Arial" w:cs="Arial" w:eastAsia="Arial" w:hAnsi="Arial"/>
          <w:sz w:val="16"/>
          <w:szCs w:val="16"/>
          <w:color w:val="auto"/>
        </w:rPr>
        <w:t>We seek to discover and develop prodrugs that are new molecules with potentially improved attributes over FDA-approved drugs,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enhanced bioavailability, extended duration of action, increased safety and reduced susceptibility to abuse.</w:t>
      </w:r>
    </w:p>
    <w:p>
      <w:pPr>
        <w:spacing w:after="0" w:line="151" w:lineRule="exact"/>
        <w:rPr>
          <w:rFonts w:ascii="Arial" w:cs="Arial" w:eastAsia="Arial" w:hAnsi="Arial"/>
          <w:sz w:val="16"/>
          <w:szCs w:val="16"/>
          <w:color w:val="auto"/>
        </w:rPr>
      </w:pPr>
    </w:p>
    <w:p>
      <w:pPr>
        <w:jc w:val="both"/>
        <w:ind w:left="440" w:right="20" w:hanging="217"/>
        <w:spacing w:after="0" w:line="26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Composition-of-matter patent protection. </w:t>
      </w:r>
      <w:r>
        <w:rPr>
          <w:rFonts w:ascii="Arial" w:cs="Arial" w:eastAsia="Arial" w:hAnsi="Arial"/>
          <w:sz w:val="16"/>
          <w:szCs w:val="16"/>
          <w:color w:val="auto"/>
        </w:rPr>
        <w:t>Our prodrugs are new molecules and thus may be eligible for patent protection as novel compositions of matter, provided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other applicable requirements are met. We seek patent protection not only for our product candidates, but also for related compounds with the intention of creating potential heightened barriers to market entry.</w:t>
      </w:r>
    </w:p>
    <w:p>
      <w:pPr>
        <w:spacing w:after="0" w:line="162" w:lineRule="exact"/>
        <w:rPr>
          <w:rFonts w:ascii="Arial" w:cs="Arial" w:eastAsia="Arial" w:hAnsi="Arial"/>
          <w:sz w:val="16"/>
          <w:szCs w:val="16"/>
          <w:color w:val="auto"/>
        </w:rPr>
      </w:pPr>
    </w:p>
    <w:p>
      <w:pPr>
        <w:jc w:val="both"/>
        <w:ind w:left="440" w:right="20" w:hanging="217"/>
        <w:spacing w:after="0" w:line="280"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Eligibility for 505(b)(2) NDA pathway. </w:t>
      </w:r>
      <w:r>
        <w:rPr>
          <w:rFonts w:ascii="Arial" w:cs="Arial" w:eastAsia="Arial" w:hAnsi="Arial"/>
          <w:sz w:val="15"/>
          <w:szCs w:val="15"/>
          <w:color w:val="auto"/>
        </w:rPr>
        <w:t>Our proprietary LAT technology allows us to discover and develop prodrugs that may be eligible to use the 505(b)(2) NDA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pathway. Under that regulatory pathway, if we are able to provide an adequate bridge between our product candidates and appropriate FDA-approved drugs, we will then be able to reference the FDA’s previous findings of safety and effectiveness of the approved drugs in our 505(b)(2) NDA submissions. This may allow us to avoid the significant time and expense of conducting large clinical trials and potentially eliminate the need for some preclinical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Unmet Need for Addressing Early Morning Behavioral Deficits and Maintaining Consistent, Sustained Efficacy in Daily ADHD Treatment</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ADHD market is relatively well-served by a number of methylphenidate and amphetamine stimulant products. However, we believe there is a significant need for longer duration products. While a few of the currently-marketed methylphenidate products are labeled as providing some level symptom control for up to 12 hours post-dose, there is increasing attention to addressing late afternoon/early evening behavioral deficits, while also providing symptom control sooner following dosing.</w:t>
      </w:r>
    </w:p>
    <w:p>
      <w:pPr>
        <w:spacing w:after="0" w:line="14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 study published in a peer-reviewed journal characterized the frequency and severity of ADHD symptoms throughout the day in children and adolescents treated with stable doses of stimulant medications. Results of that particular study indicated that the time from awakening to arriving at school can comprise up to 20% of waking hours per day (2-3 hours), and therefore such symptoms can cause significant distress for both children and caregivers. As a result, we believe there is a need to develop a methylphenidate product that provides early-morning control of symptoms.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addition to early onset, patients require sustained, consistent efficacy throughout the day and into the early evening hours. While currently marketed methylphenidate products offer efficacy for up to 12 hours, this duration may not be sufficient for all patients. Particularly adolescents and adults may often require longer effects as they have longer waking hours compared to younger patients. It has been reported in a peer-reviewed journal that these patients are typically using dose-augmentation strategies by taking additional doses of stimulant later in the day. We believe a single dose therapy that provides effective symptom control without requiring additional doses may have several benefits including, potentially, improved dosage compliance by regularly and consistently taking medication as indicated, reduced social embarrassment by avoiding the need to take medication during working hours, and overall improvement in quality of life through more consistent therapy. Based on this evidence, we believe there is a need to develop a methylphenidate product that can deliver long duration of efficacy. There may also be a need to develop a long-duration stimulant with and without very early onset depending on individual patient preference and requirements.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Our Product Candidates and Approved Products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have employed our proprietary LAT technology to create a portfolio of product candidates and approved products that we believe will offer significant improvements over FDA-approved and widely-prescribed drugs.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 selection of our product candidates and approved products are summarized in the table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KemPharm Partnered and Other Development Assets</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6"/>
                <w:szCs w:val="16"/>
                <w:b w:val="1"/>
                <w:bCs w:val="1"/>
                <w:color w:val="auto"/>
                <w:w w:val="95"/>
              </w:rPr>
              <w:t>Parent Drug (Effect Profile)</w:t>
            </w: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Product Candidate / Product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Development</w:t>
            </w:r>
          </w:p>
        </w:tc>
        <w:tc>
          <w:tcPr>
            <w:tcW w:w="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2"/>
              </w:rPr>
              <w:t>Next</w:t>
            </w:r>
          </w:p>
        </w:tc>
        <w:tc>
          <w:tcPr>
            <w:tcW w:w="0" w:type="dxa"/>
            <w:vAlign w:val="bottom"/>
          </w:tcPr>
          <w:p>
            <w:pPr>
              <w:spacing w:after="0"/>
              <w:rPr>
                <w:sz w:val="1"/>
                <w:szCs w:val="1"/>
                <w:color w:val="auto"/>
              </w:rPr>
            </w:pPr>
          </w:p>
        </w:tc>
      </w:tr>
      <w:tr>
        <w:trPr>
          <w:trHeight w:val="208"/>
        </w:trPr>
        <w:tc>
          <w:tcPr>
            <w:tcW w:w="19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(Indication)</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(Status)</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Status</w:t>
            </w:r>
          </w:p>
        </w:tc>
        <w:tc>
          <w:tcPr>
            <w:tcW w:w="80" w:type="dxa"/>
            <w:vAlign w:val="bottom"/>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Milestone</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Methylphenidate (ER)</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4"/>
              </w:rPr>
              <w:t>AZSTARYS</w:t>
            </w:r>
          </w:p>
        </w:tc>
        <w:tc>
          <w:tcPr>
            <w:tcW w:w="10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FDA Approved</w:t>
            </w:r>
          </w:p>
        </w:tc>
        <w:tc>
          <w:tcPr>
            <w:tcW w:w="80" w:type="dxa"/>
            <w:vAlign w:val="bottom"/>
            <w:shd w:val="clear" w:color="auto" w:fill="CCEEFF"/>
          </w:tcPr>
          <w:p>
            <w:pPr>
              <w:spacing w:after="0"/>
              <w:rPr>
                <w:sz w:val="14"/>
                <w:szCs w:val="14"/>
                <w:color w:val="auto"/>
              </w:rPr>
            </w:pPr>
          </w:p>
        </w:tc>
        <w:tc>
          <w:tcPr>
            <w:tcW w:w="2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0"/>
              </w:rPr>
              <w:t>Commercial Launch - as early as H2 2021</w:t>
            </w:r>
          </w:p>
        </w:tc>
        <w:tc>
          <w:tcPr>
            <w:tcW w:w="0" w:type="dxa"/>
            <w:vAlign w:val="bottom"/>
          </w:tcPr>
          <w:p>
            <w:pPr>
              <w:spacing w:after="0"/>
              <w:rPr>
                <w:sz w:val="1"/>
                <w:szCs w:val="1"/>
                <w:color w:val="auto"/>
              </w:rPr>
            </w:pPr>
          </w:p>
        </w:tc>
      </w:tr>
      <w:tr>
        <w:trPr>
          <w:trHeight w:val="108"/>
        </w:trPr>
        <w:tc>
          <w:tcPr>
            <w:tcW w:w="198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(ADHD)</w:t>
            </w:r>
          </w:p>
        </w:tc>
        <w:tc>
          <w:tcPr>
            <w:tcW w:w="100" w:type="dxa"/>
            <w:vAlign w:val="bottom"/>
            <w:shd w:val="clear" w:color="auto" w:fill="CCEEFF"/>
          </w:tcPr>
          <w:p>
            <w:pPr>
              <w:spacing w:after="0"/>
              <w:rPr>
                <w:sz w:val="9"/>
                <w:szCs w:val="9"/>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(Partnered)</w:t>
            </w:r>
          </w:p>
        </w:tc>
        <w:tc>
          <w:tcPr>
            <w:tcW w:w="100" w:type="dxa"/>
            <w:vAlign w:val="bottom"/>
            <w:shd w:val="clear" w:color="auto" w:fill="CCEEFF"/>
          </w:tcPr>
          <w:p>
            <w:pPr>
              <w:spacing w:after="0"/>
              <w:rPr>
                <w:sz w:val="9"/>
                <w:szCs w:val="9"/>
                <w:color w:val="auto"/>
              </w:rPr>
            </w:pPr>
          </w:p>
        </w:tc>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tcPr>
          <w:p>
            <w:pPr>
              <w:spacing w:after="0" w:line="179" w:lineRule="exact"/>
              <w:rPr>
                <w:sz w:val="20"/>
                <w:szCs w:val="20"/>
                <w:color w:val="auto"/>
              </w:rPr>
            </w:pPr>
            <w:r>
              <w:rPr>
                <w:rFonts w:ascii="Arial" w:cs="Arial" w:eastAsia="Arial" w:hAnsi="Arial"/>
                <w:sz w:val="16"/>
                <w:szCs w:val="16"/>
                <w:color w:val="auto"/>
              </w:rPr>
              <w:t>Methylphenidate (ER)</w:t>
            </w:r>
          </w:p>
        </w:tc>
        <w:tc>
          <w:tcPr>
            <w:tcW w:w="100" w:type="dxa"/>
            <w:vAlign w:val="bottom"/>
          </w:tcPr>
          <w:p>
            <w:pPr>
              <w:spacing w:after="0"/>
              <w:rPr>
                <w:sz w:val="15"/>
                <w:szCs w:val="15"/>
                <w:color w:val="auto"/>
              </w:rPr>
            </w:pP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91"/>
              </w:rPr>
              <w:t>KP484</w:t>
            </w: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6"/>
              </w:rPr>
              <w:t>Clinical</w:t>
            </w:r>
          </w:p>
        </w:tc>
        <w:tc>
          <w:tcPr>
            <w:tcW w:w="80" w:type="dxa"/>
            <w:vAlign w:val="bottom"/>
          </w:tcPr>
          <w:p>
            <w:pPr>
              <w:spacing w:after="0"/>
              <w:rPr>
                <w:sz w:val="15"/>
                <w:szCs w:val="15"/>
                <w:color w:val="auto"/>
              </w:rPr>
            </w:pPr>
          </w:p>
        </w:tc>
        <w:tc>
          <w:tcPr>
            <w:tcW w:w="2880" w:type="dxa"/>
            <w:vAlign w:val="bottom"/>
          </w:tcPr>
          <w:p>
            <w:pPr>
              <w:jc w:val="center"/>
              <w:spacing w:after="0" w:line="179" w:lineRule="exact"/>
              <w:rPr>
                <w:sz w:val="20"/>
                <w:szCs w:val="20"/>
                <w:color w:val="auto"/>
              </w:rPr>
            </w:pPr>
            <w:r>
              <w:rPr>
                <w:rFonts w:ascii="Arial" w:cs="Arial" w:eastAsia="Arial" w:hAnsi="Arial"/>
                <w:sz w:val="16"/>
                <w:szCs w:val="16"/>
                <w:color w:val="auto"/>
                <w:w w:val="96"/>
              </w:rPr>
              <w:t>Initiation of Pivotal Efficacy Trial - TBD by</w:t>
            </w:r>
          </w:p>
        </w:tc>
        <w:tc>
          <w:tcPr>
            <w:tcW w:w="0" w:type="dxa"/>
            <w:vAlign w:val="bottom"/>
          </w:tcPr>
          <w:p>
            <w:pPr>
              <w:spacing w:after="0"/>
              <w:rPr>
                <w:sz w:val="1"/>
                <w:szCs w:val="1"/>
                <w:color w:val="auto"/>
              </w:rPr>
            </w:pPr>
          </w:p>
        </w:tc>
      </w:tr>
      <w:tr>
        <w:trPr>
          <w:trHeight w:val="108"/>
        </w:trPr>
        <w:tc>
          <w:tcPr>
            <w:tcW w:w="1980" w:type="dxa"/>
            <w:vAlign w:val="bottom"/>
            <w:vMerge w:val="restart"/>
          </w:tcPr>
          <w:p>
            <w:pPr>
              <w:ind w:left="140"/>
              <w:spacing w:after="0"/>
              <w:rPr>
                <w:sz w:val="20"/>
                <w:szCs w:val="20"/>
                <w:color w:val="auto"/>
              </w:rPr>
            </w:pPr>
            <w:r>
              <w:rPr>
                <w:rFonts w:ascii="Arial" w:cs="Arial" w:eastAsia="Arial" w:hAnsi="Arial"/>
                <w:sz w:val="16"/>
                <w:szCs w:val="16"/>
                <w:color w:val="auto"/>
              </w:rPr>
              <w:t>(ADHD)</w:t>
            </w:r>
          </w:p>
        </w:tc>
        <w:tc>
          <w:tcPr>
            <w:tcW w:w="100" w:type="dxa"/>
            <w:vAlign w:val="bottom"/>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88"/>
              </w:rPr>
              <w:t>(Partnered)</w:t>
            </w: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w w:val="87"/>
              </w:rPr>
              <w:t>Partner</w:t>
            </w:r>
          </w:p>
        </w:tc>
        <w:tc>
          <w:tcPr>
            <w:tcW w:w="0" w:type="dxa"/>
            <w:vAlign w:val="bottom"/>
          </w:tcPr>
          <w:p>
            <w:pPr>
              <w:spacing w:after="0"/>
              <w:rPr>
                <w:sz w:val="1"/>
                <w:szCs w:val="1"/>
                <w:color w:val="auto"/>
              </w:rPr>
            </w:pPr>
          </w:p>
        </w:tc>
      </w:tr>
      <w:tr>
        <w:trPr>
          <w:trHeight w:val="95"/>
        </w:trPr>
        <w:tc>
          <w:tcPr>
            <w:tcW w:w="1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Methylphenidate (ER)</w:t>
            </w:r>
          </w:p>
        </w:tc>
        <w:tc>
          <w:tcPr>
            <w:tcW w:w="100" w:type="dxa"/>
            <w:vAlign w:val="bottom"/>
            <w:shd w:val="clear" w:color="auto" w:fill="CCEEFF"/>
          </w:tcPr>
          <w:p>
            <w:pPr>
              <w:spacing w:after="0"/>
              <w:rPr>
                <w:sz w:val="15"/>
                <w:szCs w:val="15"/>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KP879*</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Clinical</w:t>
            </w:r>
          </w:p>
        </w:tc>
        <w:tc>
          <w:tcPr>
            <w:tcW w:w="80" w:type="dxa"/>
            <w:vAlign w:val="bottom"/>
            <w:shd w:val="clear" w:color="auto" w:fill="CCEEFF"/>
          </w:tcPr>
          <w:p>
            <w:pPr>
              <w:spacing w:after="0"/>
              <w:rPr>
                <w:sz w:val="15"/>
                <w:szCs w:val="15"/>
                <w:color w:val="auto"/>
              </w:rPr>
            </w:pPr>
          </w:p>
        </w:tc>
        <w:tc>
          <w:tcPr>
            <w:tcW w:w="2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Initiation of Clinical Program - 2021</w:t>
            </w:r>
          </w:p>
        </w:tc>
        <w:tc>
          <w:tcPr>
            <w:tcW w:w="0" w:type="dxa"/>
            <w:vAlign w:val="bottom"/>
          </w:tcPr>
          <w:p>
            <w:pPr>
              <w:spacing w:after="0"/>
              <w:rPr>
                <w:sz w:val="1"/>
                <w:szCs w:val="1"/>
                <w:color w:val="auto"/>
              </w:rPr>
            </w:pPr>
          </w:p>
        </w:tc>
      </w:tr>
      <w:tr>
        <w:trPr>
          <w:trHeight w:val="108"/>
        </w:trPr>
        <w:tc>
          <w:tcPr>
            <w:tcW w:w="198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(SUD)</w:t>
            </w:r>
          </w:p>
        </w:tc>
        <w:tc>
          <w:tcPr>
            <w:tcW w:w="100" w:type="dxa"/>
            <w:vAlign w:val="bottom"/>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tcPr>
          <w:p>
            <w:pPr>
              <w:spacing w:after="0" w:line="179" w:lineRule="exact"/>
              <w:rPr>
                <w:sz w:val="20"/>
                <w:szCs w:val="20"/>
                <w:color w:val="auto"/>
              </w:rPr>
            </w:pPr>
            <w:r>
              <w:rPr>
                <w:rFonts w:ascii="Arial" w:cs="Arial" w:eastAsia="Arial" w:hAnsi="Arial"/>
                <w:sz w:val="16"/>
                <w:szCs w:val="16"/>
                <w:color w:val="auto"/>
              </w:rPr>
              <w:t>Prodrug</w:t>
            </w:r>
          </w:p>
        </w:tc>
        <w:tc>
          <w:tcPr>
            <w:tcW w:w="10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91"/>
              </w:rPr>
              <w:t>KP1077</w:t>
            </w: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3"/>
              </w:rPr>
              <w:t>Preclinical</w:t>
            </w:r>
          </w:p>
        </w:tc>
        <w:tc>
          <w:tcPr>
            <w:tcW w:w="80" w:type="dxa"/>
            <w:vAlign w:val="bottom"/>
          </w:tcPr>
          <w:p>
            <w:pPr>
              <w:spacing w:after="0"/>
              <w:rPr>
                <w:sz w:val="15"/>
                <w:szCs w:val="15"/>
                <w:color w:val="auto"/>
              </w:rPr>
            </w:pP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w w:val="92"/>
              </w:rPr>
              <w:t>Pre-IND Meeting - H1 2021</w:t>
            </w:r>
          </w:p>
        </w:tc>
        <w:tc>
          <w:tcPr>
            <w:tcW w:w="0" w:type="dxa"/>
            <w:vAlign w:val="bottom"/>
          </w:tcPr>
          <w:p>
            <w:pPr>
              <w:spacing w:after="0"/>
              <w:rPr>
                <w:sz w:val="1"/>
                <w:szCs w:val="1"/>
                <w:color w:val="auto"/>
              </w:rPr>
            </w:pPr>
          </w:p>
        </w:tc>
      </w:tr>
      <w:tr>
        <w:trPr>
          <w:trHeight w:val="108"/>
        </w:trPr>
        <w:tc>
          <w:tcPr>
            <w:tcW w:w="1980" w:type="dxa"/>
            <w:vAlign w:val="bottom"/>
            <w:vMerge w:val="restart"/>
          </w:tcPr>
          <w:p>
            <w:pPr>
              <w:ind w:left="140"/>
              <w:spacing w:after="0"/>
              <w:rPr>
                <w:sz w:val="20"/>
                <w:szCs w:val="20"/>
                <w:color w:val="auto"/>
              </w:rPr>
            </w:pPr>
            <w:r>
              <w:rPr>
                <w:rFonts w:ascii="Arial" w:cs="Arial" w:eastAsia="Arial" w:hAnsi="Arial"/>
                <w:sz w:val="16"/>
                <w:szCs w:val="16"/>
                <w:color w:val="auto"/>
              </w:rPr>
              <w:t>(IH)</w:t>
            </w:r>
          </w:p>
        </w:tc>
        <w:tc>
          <w:tcPr>
            <w:tcW w:w="1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Hydrocodone / APAP (IR)</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9"/>
              </w:rPr>
              <w:t>APADAZ</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FDA Approved</w:t>
            </w:r>
          </w:p>
        </w:tc>
        <w:tc>
          <w:tcPr>
            <w:tcW w:w="80" w:type="dxa"/>
            <w:vAlign w:val="bottom"/>
            <w:shd w:val="clear" w:color="auto" w:fill="CCEEFF"/>
          </w:tcPr>
          <w:p>
            <w:pPr>
              <w:spacing w:after="0"/>
              <w:rPr>
                <w:sz w:val="15"/>
                <w:szCs w:val="15"/>
                <w:color w:val="auto"/>
              </w:rPr>
            </w:pPr>
          </w:p>
        </w:tc>
        <w:tc>
          <w:tcPr>
            <w:tcW w:w="2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0"/>
              </w:rPr>
              <w:t>Tracking Payor Contracts and TRx's</w:t>
            </w:r>
          </w:p>
        </w:tc>
        <w:tc>
          <w:tcPr>
            <w:tcW w:w="0" w:type="dxa"/>
            <w:vAlign w:val="bottom"/>
          </w:tcPr>
          <w:p>
            <w:pPr>
              <w:spacing w:after="0"/>
              <w:rPr>
                <w:sz w:val="1"/>
                <w:szCs w:val="1"/>
                <w:color w:val="auto"/>
              </w:rPr>
            </w:pPr>
          </w:p>
        </w:tc>
      </w:tr>
      <w:tr>
        <w:trPr>
          <w:trHeight w:val="108"/>
        </w:trPr>
        <w:tc>
          <w:tcPr>
            <w:tcW w:w="198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(Pain)</w:t>
            </w:r>
          </w:p>
        </w:tc>
        <w:tc>
          <w:tcPr>
            <w:tcW w:w="100" w:type="dxa"/>
            <w:vAlign w:val="bottom"/>
            <w:shd w:val="clear" w:color="auto" w:fill="CCEEFF"/>
          </w:tcPr>
          <w:p>
            <w:pPr>
              <w:spacing w:after="0"/>
              <w:rPr>
                <w:sz w:val="9"/>
                <w:szCs w:val="9"/>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(Partnered)</w:t>
            </w:r>
          </w:p>
        </w:tc>
        <w:tc>
          <w:tcPr>
            <w:tcW w:w="100" w:type="dxa"/>
            <w:vAlign w:val="bottom"/>
            <w:shd w:val="clear" w:color="auto" w:fill="CCEEFF"/>
          </w:tcPr>
          <w:p>
            <w:pPr>
              <w:spacing w:after="0"/>
              <w:rPr>
                <w:sz w:val="9"/>
                <w:szCs w:val="9"/>
                <w:color w:val="auto"/>
              </w:rPr>
            </w:pPr>
          </w:p>
        </w:tc>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20" w:right="1180" w:hanging="199"/>
        <w:spacing w:after="0" w:line="275"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product candidate is subject to a right of first negotiation upon completion of a Phase 1 proof-of-concept study in favor of Commave under the terms of the KP415 License Agreement, but is not currently licensed to Commave, thereunder.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AZSTARYS and KP484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The prodrug in both AZSTARYS and KP484 is serdexmethylphenidate, or SDX, and both product candidates are intended for the treatment of ADHD. The ADHD market is largely served by the stimulant products methylphenidate and amphetamine. Both AZSTARYS and KP484 are designed to be extended-duration methylphenidate products.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March 2, 2021, we announced that the FDA approved the NDA for AZSTARYS, a once-daily product for the treatment of ADHD in patients ranging from six years and older. Subject to Commave’s approval, we intend to seek approval of KP484 under the 505(b)(2) NDA pathway, which will allow us to rely on the FDA’s previous findings of safety and effectiveness for one or more approved products. The timing for initiating additional PK and pivotal efficacy trials for KP484 is subject to Commave’s direction as provided under the KP415 License Agreement.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September 2019, we entered into the KP415 License Agreement with Commave. Under the KP415 License Agreement, we granted to Commave an exclusive, worldwide license to develop, manufacture and commercialize our product candidates containing SDX and d-MPH, including AZSTARYS and KP484. In addition, the KP415 License Agreement provides a right of first negotiation upon completion of a Phase 1 proof-of-concept study for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Under the terms of the KP415 License Agreement, we granted Commave an exclusive, worldwide license to commercialize and develop the Licensed Product Candidates; provided that such license shall apply to an Additional Product Candidates only if Commave exercises its option under the KP415 License Agreement related thereto. If Commave exercises its right to first negotiation related to any Additional Product Candidate under the KP415 License Agreement, the parties are obligated to negotiate in good faith regarding the economic terms of such Additional Product Candidate.</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granted to Commave a right of first refusal to acquire, license or commercialize any Additional Product Candidate, with such right of first refusal expiring upon the acceptance of a new drug application for such Additional Product Candidate. In addition, we granted Commave a right of first negotiation and a right of first refusal, subject to specified exceptions, for any assignment of our rights under the KP415 License Agreement.</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Pursuant to the KP415 License Agreement, Commave paid us an upfront payment of $10.0 million and agreed to pay up to $63.0 in milestone payments upon the occurrence of specified regulatory milestones related to the AZSTARYS, including FDA approval and specified conditions with respect to the final approval label, and KP484. As a result of the FDA’s approval of the AZSTARYS NDA, we have earned a regulatory milestone payment following FDA approval as provided under the KP415 License Agreement, and we have invoiced Commave for such payment, which is payable within thirty (30) days following the PDUFA date for AZSTARYS, which was March 2, 2021. In addition, Commave agreed to make additional payments upon the achievement of specified U.S. sales milestones of up to $420.0 million in the aggregate.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59"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Commave agreed to be responsible for and reimburse us for all of development, commercialization and regulatory expenses for the Licensed Product Candidates, subject to certain limitations as set forth in the KP415 License Agreement, including consultation fees to be paid to us for services provided to Commave in performing such activities.</w:t>
      </w:r>
    </w:p>
    <w:p>
      <w:pPr>
        <w:spacing w:after="0" w:line="10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affiliates challenge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6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KP415 License Agreement established a joint steering committee, which monitors progress in the development of both AZSTARYS and KP484. Subject to the oversight of the joint steering committee, we otherwise retain all responsibility for the conduct of all regulatory activities required to obtain NDA approval of both AZSTARYS and KP484; provided that Commave shall be the sponsor of any clinical trials conducted by us on behalf of Commave.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Under our March 2012 asset purchase agreement with Shire, Shire had a right of first refusal to acquire, license or commercialize AZSTARYS and KP484. In January 2019, Shire was acquired by Takeda to whom this right of first refusal was transferred at that time. Takeda did not exercise this right of first refusal as part of the KP415 License Agreement.</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Under our March 2012 termination agreement with Aquestive, Aquestive has the right to receive a royalty amount equal to 10% of any value generated by AZSTARYS, KP484 or KP879, and any product candidates which contain SDX, including royalty payments on any license of AZSTARYS, KP484 or KP879, the sale of AZSTARYS, KP484 or KP879 to a third party, the commercialization of AZSTARYS, KP484 or KP879 and the portion of any consideration that is attributable to the value of AZSTARYS, KP484 or KP879 and paid to us or our stockholders in a change of control transaction. In connection with the KP415 License Agreement, we paid Aquestive a royalty equal to 10% of the upfront license payment we received in the third quarter of 2019 and the regulatory milestone payment we received in the second quarter of 2020. Aquestive will be due to receive a royalty equal to 10% of the of the regulatory milestone payment for the approval of the AZSTARYS NDA upon receipt from Commave.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Market Opportunity</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believe the ADHD market would be receptive to new branded drugs that have improved properties when compared to current treatments. We believe a new product in the form of a prodrug that has differentiated features may provide a new treatment option in this large market segment. While methylphenidate is available as a generic product, the branded formulations, including, among others, CONCERTA, FOCALIN XR, JORNAY PM, QUILLICHEW XR and COTEMPLA XR-ODT rely on formulation alone in attempting to provide differentiation from generics.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Features of AZSTARYS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believe AZSTARYS has valuable product features and may provide significant benefits to patients, physicians, and society when compared to other FDA-approved and widely-prescribed methylphenidate products:</w:t>
      </w:r>
    </w:p>
    <w:p>
      <w:pPr>
        <w:spacing w:after="0" w:line="152" w:lineRule="exact"/>
        <w:rPr>
          <w:sz w:val="20"/>
          <w:szCs w:val="20"/>
          <w:color w:val="auto"/>
        </w:rPr>
      </w:pPr>
    </w:p>
    <w:p>
      <w:pPr>
        <w:ind w:left="440" w:hanging="217"/>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Earlier onset and extended duration.</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Once-daily dosing.</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Available to treat patients six years and older.</w:t>
      </w:r>
    </w:p>
    <w:p>
      <w:pPr>
        <w:spacing w:after="0" w:line="198"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Amenable to patient-friendly formulations. </w:t>
      </w:r>
      <w:r>
        <w:rPr>
          <w:rFonts w:ascii="Arial" w:cs="Arial" w:eastAsia="Arial" w:hAnsi="Arial"/>
          <w:sz w:val="16"/>
          <w:szCs w:val="16"/>
          <w:color w:val="auto"/>
        </w:rPr>
        <w:t>Patients can take AZSTARYS with or without food and can swallow capsules whole or open and sprinkle onto food or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water.</w:t>
      </w:r>
    </w:p>
    <w:p>
      <w:pPr>
        <w:spacing w:after="0" w:line="151" w:lineRule="exact"/>
        <w:rPr>
          <w:rFonts w:ascii="Arial" w:cs="Arial" w:eastAsia="Arial" w:hAnsi="Arial"/>
          <w:sz w:val="16"/>
          <w:szCs w:val="16"/>
          <w:color w:val="auto"/>
        </w:rPr>
      </w:pPr>
    </w:p>
    <w:p>
      <w:pPr>
        <w:jc w:val="both"/>
        <w:ind w:left="440" w:right="20" w:hanging="217"/>
        <w:spacing w:after="0" w:line="306" w:lineRule="auto"/>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Composition-of-matter patent protection. </w:t>
      </w:r>
      <w:r>
        <w:rPr>
          <w:rFonts w:ascii="Arial" w:cs="Arial" w:eastAsia="Arial" w:hAnsi="Arial"/>
          <w:sz w:val="14"/>
          <w:szCs w:val="14"/>
          <w:color w:val="auto"/>
        </w:rPr>
        <w:t>We have a U.S. composition-of-matter patent that will expire, after utilizing all appropriate patent term adjustments but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excluding possible term extensions, in 2037 that generally covers at least one component of AZSTARYS. Our patent strategy is focused primarily on key geographic markets, and we have composition-of-matter patents in multiple countries, including in Canada, China, Europe, Malaysia, Mexico, Indonesia, Israel, Japan, New Zealand, Philippines, Russia, Singapore, South Africa, South Korea and Vietnam, and additional patent filings pending in the United States and foreign jurisdictions.</w:t>
      </w:r>
    </w:p>
    <w:p>
      <w:pPr>
        <w:spacing w:after="0" w:line="134" w:lineRule="exact"/>
        <w:rPr>
          <w:rFonts w:ascii="Arial" w:cs="Arial" w:eastAsia="Arial" w:hAnsi="Arial"/>
          <w:sz w:val="14"/>
          <w:szCs w:val="14"/>
          <w:color w:val="auto"/>
        </w:rPr>
      </w:pPr>
    </w:p>
    <w:p>
      <w:pPr>
        <w:jc w:val="both"/>
        <w:ind w:left="440" w:right="20" w:hanging="217"/>
        <w:spacing w:after="0" w:line="26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generic equivalent product. </w:t>
      </w:r>
      <w:r>
        <w:rPr>
          <w:rFonts w:ascii="Arial" w:cs="Arial" w:eastAsia="Arial" w:hAnsi="Arial"/>
          <w:sz w:val="16"/>
          <w:szCs w:val="16"/>
          <w:color w:val="auto"/>
        </w:rPr>
        <w:t>AZSTARYS contains a prodrug that was given a new chemical name, serdexmethylphenidate, by the U.S. Adopted Names Council,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USAN, which means that there may be no generic equivalent product for AZSTARYS in most states, making drug-equivalent substitution potentially difficult at the pharmacy.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KP879</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KP879, a prodrug of d-methylphenidate using our proprietary LAT technology, is our product candidate for the treatment of SUD including, for example, abuse or misuse of cocaine, methamphetamine and prescription stimulants. Currently there are no approved drugs in the United States for SUD. We filed an IND with the FDA for KP879 in December 2020. In January 2021, the FDA completed its review of the KP879 IND, concluding that we may proceed with its planned clinical investigation of the product candidate. We expect to initiate the clinical program for KP879 in 2021.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KP484</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our preclinical and clinical data, we believe KP484, if approved by the FDA, may have valuable product features and may provide significant benefits to patients, physicians, and society when compared to other FDA-approved and widely-prescribed methylphenidate products:</w:t>
      </w:r>
    </w:p>
    <w:p>
      <w:pPr>
        <w:spacing w:after="0" w:line="152" w:lineRule="exact"/>
        <w:rPr>
          <w:sz w:val="20"/>
          <w:szCs w:val="20"/>
          <w:color w:val="auto"/>
        </w:rPr>
      </w:pPr>
    </w:p>
    <w:p>
      <w:pPr>
        <w:ind w:left="440" w:hanging="217"/>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Super-extended release. </w:t>
      </w:r>
      <w:r>
        <w:rPr>
          <w:rFonts w:ascii="Arial" w:cs="Arial" w:eastAsia="Arial" w:hAnsi="Arial"/>
          <w:sz w:val="16"/>
          <w:szCs w:val="16"/>
          <w:color w:val="auto"/>
        </w:rPr>
        <w:t>We believe that this KP484 may provide sustained, consistent effectiveness through the day and into the evening hours.</w:t>
      </w:r>
    </w:p>
    <w:p>
      <w:pPr>
        <w:spacing w:after="0" w:line="198" w:lineRule="exact"/>
        <w:rPr>
          <w:rFonts w:ascii="Arial" w:cs="Arial" w:eastAsia="Arial" w:hAnsi="Arial"/>
          <w:sz w:val="16"/>
          <w:szCs w:val="16"/>
          <w:color w:val="auto"/>
        </w:rPr>
      </w:pPr>
    </w:p>
    <w:p>
      <w:pPr>
        <w:jc w:val="both"/>
        <w:ind w:left="440" w:hanging="217"/>
        <w:spacing w:after="0" w:line="26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Once-daily dosing. </w:t>
      </w:r>
      <w:r>
        <w:rPr>
          <w:rFonts w:ascii="Arial" w:cs="Arial" w:eastAsia="Arial" w:hAnsi="Arial"/>
          <w:sz w:val="16"/>
          <w:szCs w:val="16"/>
          <w:color w:val="auto"/>
        </w:rPr>
        <w:t>PK data from our clinical studies suggest that under fasted conditions, the time to maximum plasma concentration of d-methylphenidate after oral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administration of KP484 is potentially five to seven times longer compared to oral administration of currently marketed IR d-methylphenidate. We believe this extended-duration attribute of KP484 may allow for convenient, once-daily dosing.</w:t>
      </w:r>
    </w:p>
    <w:p>
      <w:pPr>
        <w:spacing w:after="0" w:line="162" w:lineRule="exact"/>
        <w:rPr>
          <w:rFonts w:ascii="Arial" w:cs="Arial" w:eastAsia="Arial" w:hAnsi="Arial"/>
          <w:sz w:val="16"/>
          <w:szCs w:val="16"/>
          <w:color w:val="auto"/>
        </w:rPr>
      </w:pPr>
    </w:p>
    <w:p>
      <w:pPr>
        <w:jc w:val="both"/>
        <w:ind w:left="440" w:hanging="217"/>
        <w:spacing w:after="0" w:line="26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Amenable to patient-friendly formulations. </w:t>
      </w:r>
      <w:r>
        <w:rPr>
          <w:rFonts w:ascii="Arial" w:cs="Arial" w:eastAsia="Arial" w:hAnsi="Arial"/>
          <w:sz w:val="16"/>
          <w:szCs w:val="16"/>
          <w:color w:val="auto"/>
        </w:rPr>
        <w:t>Our preclinical and clinical data shows that KP484 could ultimately be used in a variety of patient-friendly dosage forms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oral thin film and orally dissolving tablets as a means of increasing patient convenience and dosage compliance by regularly and consistently taking the medications as indicated.</w:t>
      </w:r>
    </w:p>
    <w:p>
      <w:pPr>
        <w:spacing w:after="0" w:line="162" w:lineRule="exact"/>
        <w:rPr>
          <w:rFonts w:ascii="Arial" w:cs="Arial" w:eastAsia="Arial" w:hAnsi="Arial"/>
          <w:sz w:val="16"/>
          <w:szCs w:val="16"/>
          <w:color w:val="auto"/>
        </w:rPr>
      </w:pPr>
    </w:p>
    <w:p>
      <w:pPr>
        <w:jc w:val="both"/>
        <w:ind w:left="440" w:hanging="217"/>
        <w:spacing w:after="0" w:line="287" w:lineRule="auto"/>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Composition-of-matter patent protection. </w:t>
      </w:r>
      <w:r>
        <w:rPr>
          <w:rFonts w:ascii="Arial" w:cs="Arial" w:eastAsia="Arial" w:hAnsi="Arial"/>
          <w:sz w:val="15"/>
          <w:szCs w:val="15"/>
          <w:color w:val="auto"/>
        </w:rPr>
        <w:t>KP484 is generally protected by a U.S. composition-of-matter patent that will expire, after utilizing all appropriate patent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adjustments but excluding possible term extensions, in 2032. Our patent strategy is focused primarily on key geographic markets, and we have composition-of-matter patents generally protecting the major component of KP484 in New Zealand, South Africa and select other countries.</w:t>
      </w:r>
    </w:p>
    <w:p>
      <w:pPr>
        <w:spacing w:after="0" w:line="146" w:lineRule="exact"/>
        <w:rPr>
          <w:rFonts w:ascii="Arial" w:cs="Arial" w:eastAsia="Arial" w:hAnsi="Arial"/>
          <w:sz w:val="15"/>
          <w:szCs w:val="15"/>
          <w:color w:val="auto"/>
        </w:rPr>
      </w:pPr>
    </w:p>
    <w:p>
      <w:pPr>
        <w:ind w:left="440" w:right="20" w:hanging="217"/>
        <w:spacing w:after="0" w:line="275"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generic equivalent product. </w:t>
      </w:r>
      <w:r>
        <w:rPr>
          <w:rFonts w:ascii="Arial" w:cs="Arial" w:eastAsia="Arial" w:hAnsi="Arial"/>
          <w:sz w:val="16"/>
          <w:szCs w:val="16"/>
          <w:color w:val="auto"/>
        </w:rPr>
        <w:t>KP484 contains a prodrug that was given a new chemical name, serdexmethylphenidate, by the USAN, which means that there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generic equivalent product for KP484 in most states, making drug-equivalent substitution potentially difficult at the pharmacy.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KP1077</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KP1077 is our prodrug preclinical product candidate for the treatment of IH, an underserved, orphan disease indication. Currently there are no approved drugs in the United States for IH. We expect to hold a pre-IND meeting with the FDA in 2021.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APADAZ</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February 2018, we announced that the FDA approved APADAZ for the short-term (no more than 14 days) management of acute pain severe enough to require an opioid analgesic and for which alternative treatments are inadequate. APADAZ is an IR combination of our prodrug, benzhydrocodone, and acetaminophen, or APAP. Benzhydrocodone was developed with our proprietary LAT technology.</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October 2018, we entered into the APADAZ License Agreement with KVK pursuant to which we have granted an exclusive license to KVK to conduct regulatory activities for, manufacture and commercialize APADAZ in the United States.</w:t>
      </w:r>
    </w:p>
    <w:p>
      <w:pPr>
        <w:spacing w:after="0" w:line="152"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Pursuant to the APADAZ License Agreement, KVK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We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the other party encounters bankruptcy or insolvency or (iii) if the Initial Adoption Milestone is not achieved. Upon termination, all licenses and other rights granted by us to KVK pursuant to the APADAZ License Agreement would revert to us.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APADAZ License Agreement also established a joint steering committee, which monitors progress of the commercialization of APADAZ.</w:t>
      </w:r>
    </w:p>
    <w:p>
      <w:pPr>
        <w:spacing w:after="0" w:line="198"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November 2019, APADAZ and its authorized generic became nationally available. To date, KVK has utilized targeted non-traditional efforts to build product awareness for APADAZ as a responsible alternative to currently available hydrocodone/acetaminophen products. For example, in December 2020, KVK began a collaboration with Sure Med Compliance, a provider of compliance and decision support software designed to assist physicians in evaluating the appropriateness of opioid treatment, to provide a patient/provider support program, referred to as Perspectives in Care, to provide education to physicians, pharmacies and patients regarding responsible opioid therapy. The Perspectives in Care program was initially launched as a pilot program for APADAZ in Alabama. We may also license the international commercial rights to APADAZ to one or more collaborators.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Our Intellectual Property</w:t>
      </w:r>
    </w:p>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intellectual property strategy includes seeking composition-of-matter patents, among other patents, for our prodrugs and product candidates and conjugates of our prodrugs while also protecting, where appropriate as trade secrets, our proprietary LAT technology, the process by which we identify, screen, evaluate and select ligands to be conjugated with parent drugs to create our prodrugs. Our current prodrugs all consist of an approved parent drug and one or more ligands that we have selected using our proprietary LAT technology. The parent drug and ligand or ligands together may potentially constitute a new molecule and thus may be eligible for composition-of-matter patent protection, among other patent protections, in the United States and abroad.</w:t>
      </w:r>
    </w:p>
    <w:p>
      <w:pPr>
        <w:spacing w:after="0" w:line="170"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As of December 31, 2020, we have been granted 48 active patents within the United States, and an additional 78 active foreign patents covering our selected prodrugs and product candidates. The terms of the 48 issued U.S. patents extend to various dates ranging, for example, between 2030 and 2037. The term of our overall domestic and foreign patent portfolio related to our selected prodrugs and product candidates, including patent term adjustments but excluding possible patent term extensions, extend to various dates ranging, for example, between 2030 and 2037, if pending patent applications in each of our patent families issue as patents. As of December 31, 2020, we had 13 pending patent applications under active prosecution in the United States, and an additional 28 pending foreign patent applications potentially covering our selected prodrugs and product candidates. Our issued and granted patents provide protection in jurisdictions that include the United States, Australia, Canada, Chile, China, European Countries, Hong Kong, India, Indonesia, Israel, Japan, Kazakhstan, Malaysia, Mexico, New Zealand, Philippines, Romania, Russia, Singapore, South Africa, South Korea, and Vietnam.</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received composition-of-matter patents and also additionally filed composition-of-matter and method of treatment patent applications related to the AZSTARYS and KP484 families in the United States and in Argentina, Australia, Brazil, Canada, Chile, China, Egypt, Hong Kong, European Countries, India, Israel, Indonesia, Japan, South Korea, Kazakhstan, Mexico, Malaysia, New Zealand, Philippines, Russia, Singapore, South Africa, Thailand, Ukraine, and Vietnam. We anticipate filing additional patent applications for our prodrugs and product candidates.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Since 2013, the United States Patent and Trademark Office, or the USPTO, has issued 14 composition-of-matter or method of treatment patents covering benzhydrocodone, which will expire, after utilizing all appropriate patent term adjustments but excluding possible patent term extensions, no earlier than 2030. Further, there are granted or recently allowed compositions-of-matter patents covering benzhydrocodone in Australia, Canada, Chile, China, Israel, Mexico, South Africa, and South Korea. Patent applications covering benzhydrocodone were pending as of December 31, 2020, in Thailand and Vietnam.</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To help protect our LAT technology, as well as any proprietary know-how and show-how beyond that which is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inventions and improvements important to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Commercialization</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March 2, 2021, we announced that the FDA approved the NDA for AZSTARYS, a once-daily product for the treatment of ADHD in patients ranging from six years and older. Corium will lead the commercialization of AZSTARYS per the KP415 License Agreement. Corium expects to make AZSTARYS commercially available in the United States as early as the second half of 2021.</w:t>
      </w:r>
    </w:p>
    <w:p>
      <w:pPr>
        <w:spacing w:after="0" w:line="16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February 2018, we announced that the FDA approved APADAZ for the short-term (no more than 14 days) management of acute pain severe enough to require an opioid analgesic and for which alternative treatments are inadequate. In October 2018, we entered into the APADAZ License Agreement with KVK pursuant to which we have granted an exclusive license to KVK to conduct regulatory activities for, manufacture and commercialize APADAZ in the United States. In November 2019, APADAZ and its authorized generic (AG-APADAZ) became nationally available. In December 2020, KVK, in collaboration with Sure Med Compliance, initiated a regional launch of the Perspectives in Care program to provide education to physicians, pharmacies and patients regarding responsible opioid therapy and launched a pilot program for APADAZ in Alabama.</w:t>
      </w:r>
    </w:p>
    <w:p>
      <w:pPr>
        <w:spacing w:after="0" w:line="170"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With the exception of AZSTARYS and APADAZ, commercialization activities for our product candidates in active development have not yet begun. Because many of our product candidates may have large potential market opportunities, and may require significant marketing resources, we may conclude that the most appropriate approach to their commercialization, if they receive regulatory approval, will involve forming a commercial collaboration or strategic relationship similar to those we have entered into with Commave and KVK, or consummating some type of strategic transaction, with a larger pharmaceutical or other marketing organization. Alternatively, we may conclude that building our own focused sales and marketing organization will be most appropriate, perhaps as part of a co-promotional arrangement, or some other form of collaboration. As we get closer to potential approval of our product candidates which are not currently subject to the KP415 License Agreement or the APADAZ License Agreement, we will work to identify and implement the commercialization strategies that we conclude are the most desirable with regard to the specific product candidates.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Historically, we have devoted a significant amount of resources to develop our product candidates. For the years ended December 31, 2020 and 2019, we recorded $8.8 million and $19.4 million, respectively, in research and development expenses. We plan to devote a significant portion of our capital towards research and development for the foreseeable future as we continue our efforts to further advance the development of our product candidates.Under the KP415 License Agreement, Commave agreed to be responsible for and reimburse us for all of development, commercialization and regulatory expenses for the Licensed Product Candidates, as defined in the KP415 License Agreement, subject to certain limitations as set forth in the KP415 License Agreement. We are responsible for the development costs required to bring Additional Product Candidates to the successful completion of a Phase 1 proof-of-concept study, or if Commave does not exercise its right of first negotiation at that point, or Commave’s exercise of its right of first negotiation does not culminate in economic terms which are mutually agreeable between Commave and the Company, any additional development costs which would be required to pursue the approval of such product candidate.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AZSTARYS and, if approved, KP484 will compete against currently marketed, branded and generic methylphenidate products for the treatment of ADHD. Some of these currently marketed products include Janssen’s CONCERTA,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Currently, there are no approved drugs in the United States for the treatment of IH. If approved, KP1077 could face potential competition from any products for the treatment of IH that are currently in or which may enter into clinical development.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Manufacturing</w:t>
      </w:r>
    </w:p>
    <w:p>
      <w:pPr>
        <w:spacing w:after="0" w:line="202"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Our manufacturing strategy is to rely on contract manufacturers to produce our product candidates for clinical trials and, if approved, drug product for commercial sale. We currently have no manufacturing facilities and limited personnel with manufacturing experience. We rely on Johnson Matthey, Inc., or JMI, a third-party manufacturer, to produce the bulk quantities of benzhydrocodone required to manufacture APADAZ under a supply agreement. We have contracted with another third-party manufacturer to supply AZSTARYS and KP484 to be used in our non-clinical, clinical and formulation development programs necessary to support an NDA filing. We expect that our commercial partners under the KP415 License Agreement and the APADAZ License Agreement will continue to rely initially on these manufacturers to manufacture commercial quantities of AZSTARYS, KP484 and APADAZ for sale in the United States, following approval by the FDA. We expect to contract with third-party manufacturers for the manufacture of all API supply needs outside the United States if and when we receive approval by regulatory authorities outside the United States.</w:t>
      </w:r>
    </w:p>
    <w:p>
      <w:pPr>
        <w:spacing w:after="0" w:line="144"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Our current and any future third-party manufacturers, their facilities and all lots of drug substance and drug products used in our clinical trials are required to be in compliance with current good manufacturing practices, or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and FDA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Purchase Agreement with Shire</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March 2012, as a result of a litigation settlement, we and our chief executive officer, Travis C. Mickle, Ph. D., entered into an asset purchase agreement with Shire pursuant to which we sold assets and intellectual property to Shire for proceeds of $5.1 million. Pursuant to this agreement, we also granted Shire a right of first refusal to acquire, license or commercialize AZSTARYS and KP484. In January 2019, Shire was acquired by Takeda to whom this right of first refusal was transferred at that time. Takeda did not exercise this right of first refusal, and therefore we entered into the KP415 License Agreement with Commave.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Third-Party Reimbursement</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Unless we enter into a strategic collaboration under which our collaborator assumes responsibility for seeking coverage and reimbursement for a given product, we will be responsible for negotiating coverage, reimbursement and placement decisions for our product candidates. Coverage, reimbursement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or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transitioning patient responsibility in that coverage range from 100% in 2010 to only 25% currently. To help achieve this reduction, pharmaceutical manufacturers are required to provide quarterly discounts of 70%, which commenced January 1, 2019. In 2020, drug manufacturers became be responsible for a larger share of total drug costs due to an increase to the catastrophic threshold. Such increase will also result in a higher out-of-pocket threshold paid by Part D beneficiaries.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or the OBRA, and the Veterans Health Care Act of 1992, or the VHCA, each as amended. Among other things, the OBRA requires drug manufacturers with certain drugs covered by Medicaid to pay rebates on prescription drugs to state Medicaid programs. States may 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Third-party payors,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Government Regulation</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process required by the FDA before product candidates may be marketed in the United States generally involves the following:</w:t>
      </w:r>
    </w:p>
    <w:p>
      <w:pPr>
        <w:spacing w:after="0" w:line="198" w:lineRule="exact"/>
        <w:rPr>
          <w:sz w:val="20"/>
          <w:szCs w:val="20"/>
          <w:color w:val="auto"/>
        </w:rPr>
      </w:pPr>
    </w:p>
    <w:p>
      <w:pPr>
        <w:ind w:left="440" w:hanging="217"/>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non-clinical laboratory and animal tests that must be conducted in accordance with good laboratory practices, or GLPs;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submission of an investigational new drug application, or IND, which must be received by the FDA and become effective before human clinical trials may begin;</w:t>
      </w:r>
    </w:p>
    <w:p>
      <w:pPr>
        <w:spacing w:after="0" w:line="209" w:lineRule="exact"/>
        <w:rPr>
          <w:rFonts w:ascii="Arial" w:cs="Arial" w:eastAsia="Arial" w:hAnsi="Arial"/>
          <w:sz w:val="15"/>
          <w:szCs w:val="15"/>
          <w:color w:val="auto"/>
        </w:rPr>
      </w:pPr>
    </w:p>
    <w:p>
      <w:pPr>
        <w:ind w:left="440" w:hanging="217"/>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for each clinical site or centrally before each trial may be initiated;</w:t>
      </w:r>
    </w:p>
    <w:p>
      <w:pPr>
        <w:spacing w:after="0" w:line="198"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adequate and well-controlled human clinical trials to establish the safety and efficacy of the proposed product candidate for its intended use, performed in accordance with good clinical practices, or GCPs;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submission of a NDA to the FDA;</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satisfactory completion of an FDA advisory committee review, if applicable;</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pre-approval inspection of manufacturing facilities and selected clinical investigators for their compliance with cGMP and GCPs;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FDA approval of an NDA to permit commercial marketing for particular indications for use.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Prior to the commencement of marketing of controlled substances, the DEA must also determine the controlled substance schedule, taking into account the recommendation of the FDA.</w:t>
      </w:r>
    </w:p>
    <w:p>
      <w:pPr>
        <w:spacing w:after="0" w:line="15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human clinical trial with a product candidate, we must submit the results of the preclinical tests and preclinical literature, together with manufacturing information, analytical data and any available clinical data or literature, among other things, to the FDA as part of an IND. Additional non-clinical studies may be required even after the IND is submitted.</w:t>
      </w:r>
    </w:p>
    <w:p>
      <w:pPr>
        <w:spacing w:after="0" w:line="151"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The IND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In general, for purposes of NDA approval, human clinical trials are typically conducted in three sequential phases that may overlap.</w:t>
      </w:r>
    </w:p>
    <w:p>
      <w:pPr>
        <w:spacing w:after="0" w:line="198" w:lineRule="exact"/>
        <w:rPr>
          <w:sz w:val="20"/>
          <w:szCs w:val="20"/>
          <w:color w:val="auto"/>
        </w:rPr>
      </w:pPr>
    </w:p>
    <w:p>
      <w:pPr>
        <w:jc w:val="both"/>
        <w:ind w:left="440" w:hanging="217"/>
        <w:spacing w:after="0" w:line="26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-Studies are initially conducted to test the product candidate for safety, dosage tolerance, structure-activity relationships, mechanism of action, absorption,</w:t>
      </w:r>
      <w:r>
        <w:rPr>
          <w:rFonts w:ascii="Arial" w:cs="Arial" w:eastAsia="Arial" w:hAnsi="Arial"/>
          <w:sz w:val="16"/>
          <w:szCs w:val="16"/>
          <w:i w:val="1"/>
          <w:iCs w:val="1"/>
          <w:color w:val="auto"/>
        </w:rPr>
        <w:t xml:space="preserve"> </w:t>
      </w:r>
      <w:r>
        <w:rPr>
          <w:rFonts w:ascii="Arial" w:cs="Arial" w:eastAsia="Arial" w:hAnsi="Arial"/>
          <w:sz w:val="16"/>
          <w:szCs w:val="16"/>
          <w:color w:val="auto"/>
        </w:rPr>
        <w:t>metabolism, distribution and excretion in healthy volunteers or subjects with the target disease or condition. If possible, Phase 1 trials may also be used to gain an initial indication of product effectiveness.</w:t>
      </w:r>
    </w:p>
    <w:p>
      <w:pPr>
        <w:spacing w:after="0" w:line="162" w:lineRule="exact"/>
        <w:rPr>
          <w:rFonts w:ascii="Arial" w:cs="Arial" w:eastAsia="Arial" w:hAnsi="Arial"/>
          <w:sz w:val="16"/>
          <w:szCs w:val="16"/>
          <w:color w:val="auto"/>
        </w:rPr>
      </w:pPr>
    </w:p>
    <w:p>
      <w:pPr>
        <w:jc w:val="both"/>
        <w:ind w:left="440" w:hanging="217"/>
        <w:spacing w:after="0" w:line="26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-Controlled studies are conducted with groups of subjects with a specified disease or condition to provide enough data to evaluate the preliminary efficacy,</w:t>
      </w:r>
      <w:r>
        <w:rPr>
          <w:rFonts w:ascii="Arial" w:cs="Arial" w:eastAsia="Arial" w:hAnsi="Arial"/>
          <w:sz w:val="16"/>
          <w:szCs w:val="16"/>
          <w:i w:val="1"/>
          <w:iCs w:val="1"/>
          <w:color w:val="auto"/>
        </w:rPr>
        <w:t xml:space="preserve"> </w:t>
      </w:r>
      <w:r>
        <w:rPr>
          <w:rFonts w:ascii="Arial" w:cs="Arial" w:eastAsia="Arial" w:hAnsi="Arial"/>
          <w:sz w:val="16"/>
          <w:szCs w:val="16"/>
          <w:color w:val="auto"/>
        </w:rPr>
        <w:t>optimal dosages and dosing schedule and expanded evidence of safety. Multiple Phase 2 clinical trials may be conducted to obtain information prior to beginning larger and more expensive Phase 3 clinical trials.</w:t>
      </w:r>
    </w:p>
    <w:p>
      <w:pPr>
        <w:spacing w:after="0" w:line="162" w:lineRule="exact"/>
        <w:rPr>
          <w:rFonts w:ascii="Arial" w:cs="Arial" w:eastAsia="Arial" w:hAnsi="Arial"/>
          <w:sz w:val="16"/>
          <w:szCs w:val="16"/>
          <w:color w:val="auto"/>
        </w:rPr>
      </w:pPr>
    </w:p>
    <w:p>
      <w:pPr>
        <w:jc w:val="both"/>
        <w:ind w:left="440" w:hanging="217"/>
        <w:spacing w:after="0" w:line="280"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Phase 3</w:t>
      </w:r>
      <w:r>
        <w:rPr>
          <w:rFonts w:ascii="Arial" w:cs="Arial" w:eastAsia="Arial" w:hAnsi="Arial"/>
          <w:sz w:val="15"/>
          <w:szCs w:val="15"/>
          <w:color w:val="auto"/>
        </w:rPr>
        <w:t>-These clinical trials are undertaken in larger subject populations to provide statistically significant evidence of clinical efficacy and to further test for safety in</w:t>
      </w:r>
      <w:r>
        <w:rPr>
          <w:rFonts w:ascii="Arial" w:cs="Arial" w:eastAsia="Arial" w:hAnsi="Arial"/>
          <w:sz w:val="15"/>
          <w:szCs w:val="15"/>
          <w:i w:val="1"/>
          <w:iCs w:val="1"/>
          <w:color w:val="auto"/>
        </w:rPr>
        <w:t xml:space="preserve"> </w:t>
      </w:r>
      <w:r>
        <w:rPr>
          <w:rFonts w:ascii="Arial" w:cs="Arial" w:eastAsia="Arial" w:hAnsi="Arial"/>
          <w:sz w:val="15"/>
          <w:szCs w:val="15"/>
          <w:color w:val="auto"/>
        </w:rPr>
        <w:t>an expanded subject population at multiple clinical trial sites.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the case of a 505(b)(2) NDA, some of the above-described studies and preclinical studies may not be required or may be abbreviated. Bridging studies may be needed, however, to demonstrate the relevance of the studies that were previously conducted by other sponsors to the drug that is the subject of the NDA.</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FDA may require, or companies may pursue, additional clinical trials after a product is approved. These so-called Phase 4, or post-market, studies may be made a condition to be satisfied after approval. The results of Phase 4 studies can confirm the effectiveness of a product candidate and can provide important safety information.</w:t>
      </w:r>
    </w:p>
    <w:p>
      <w:pPr>
        <w:spacing w:after="0" w:line="129"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70"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Progress reports detailing the results of the clinical trials must be submitted at least annually to the FDA and the IRB and more frequently if serious adverse events occur.</w:t>
      </w:r>
    </w:p>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505(b)(2) Approval Process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Section 505(b)(2) of the FFDCA,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effectiveness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current and anticipated product candidates are or will be based on already approved APIs in combination with a ligand. Accordingly, we have and expect to be able to continue to rely on information from studies previously conducted by the companies that obtained approval for drugs containing such APIs.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Orange Book Listing</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4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If the ANDA or 505(b)(2) NDA applicant has provided a Paragraph IV certification to the FDA, the applicant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Exclusivity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NDA Submission and Review by the FDA</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application user fee to the FDA. These user fees must be filed at the time of the first submission of the application, even if the application is being submitted on a rolling basis. Fee waivers or reductions are available in some circumstances.</w:t>
      </w:r>
    </w:p>
    <w:p>
      <w:pPr>
        <w:spacing w:after="0" w:line="16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FDA may refer drugs which present difficult questions of safety, purity or potency to an advisory committee. An advisory committee is a panel that typically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 NDA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ten months from the 60-day filing date to complete its initial review of a standard NDA for a new molecular entity, or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(Class 1 or Class 2).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56"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or may include contraindications, warnings or precautions in the product labeling, including a boxed warning. If the FDA requires a boxed warning, we would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After approval, most changes to the approved product, such as adding new indications or other labeling claims are subject to prior FDA review and approval. There also are continuing, annual human prescription drug program fee requirements for approved products.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3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65"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27"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51"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Evaluation and Mitigation Strategy</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FDA has the authority to require a REMS to ensure the safe use of the drug. In determining whether a REMS is necessary, the FDA must consider the size of the population likely to use the drug, the seriousness of the disease or condition to be treated, the expected benefit of the drug, the duration of treatment, the seriousness of known or potential adverse events, and whether the drug is a new molecule. If the FDA determines a REMS is necessary, the drug sponsor must develop the REMS program, which the FDA reviews and approves. A REMS may be required for a single drug or an entire class of drugs.</w:t>
      </w:r>
    </w:p>
    <w:p>
      <w:pPr>
        <w:spacing w:after="0" w:line="165"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A REMS may be required to include various elements, including, but not limited to, a medication guide or patient package insert, a communication plan to educate healthcare providers of the drug’s risks, limitations on who may prescribe or dispense the drug, elements to assure safe use, or ETASU, an implementation system, or other measures that the FDA deems necessary to assure the safe use of the drug. ETASU can include, but are not limited to, special training or certification for prescribing or dispensing, dispensing only under specified circumstances, special monitoring, and the use of patient registries. In addition, the REMS must include a timetable to periodically assess the strategy. The FDA may also impose a REMS requirement on a drug already on the market if the FDA determines, based on new safety information, that a REMS is necessary to ensure that the drug’s benefits outweigh its risks. The requirement for a REMS can materially affect the potential market and profitability of a drug.</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APADAZ is currently subject to a REMS requirement, and under the APADAZ License Agreement, KVK is responsible for the maintenance of and all expenses and fees for the APADAZ REMS program.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DEA Regulation</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Most of our products and product candidates, if approved, will be regulated as “controlled substances” as defined in the Controlled Substances Act of 1970, or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w:t>
      </w:r>
    </w:p>
    <w:p>
      <w:pPr>
        <w:spacing w:after="0" w:line="146" w:lineRule="exact"/>
        <w:rPr>
          <w:sz w:val="20"/>
          <w:szCs w:val="20"/>
          <w:color w:val="auto"/>
        </w:rPr>
      </w:pPr>
    </w:p>
    <w:p>
      <w:pPr>
        <w:ind w:left="440" w:hanging="217"/>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drug has a high potential for abuse;</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abuse of the drug may lead to severe psychological or physical dependence.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APADAZ is, and the FDA has recommended that AZSTARYS should be, listed as a Schedule II controlled substance under the CSA, and we expect that our other products and product candidates may be listed in the same manner, if approved. If our product candidates are ultimately listed as Schedule II controlled substances, then the importation of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AZSTARYS, APADAZ and our other current product candidates currently under development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stimulants that the DEA allows to be produced in the United States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substances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Other Healthcare and Privacy Regulatory Frameworks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as well as privacy and information security laws, including those described below. Compliance with government regulations requires the expenditure of substantial time and financial resources.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as amended by the Health Care and Education Reconciliation Act of 2010, or collectively, the ACA, amended the intent requirement of the federal Anti-Kickback Statute, and some other healthcare criminal fraud statutes, so that a person or entity no longer needs to have actual knowledge of the federal Anti-Kickback Statute, or the specific intent to violate it, to have violated those statutes. The ACA also provided that a violation of the federal Anti-Kickback Statute is grounds for the government or a whistleblower to assert that a claim for payment of items or services resulting from such violation constitutes a false or fraudulent claim for purposes of the False Claims Act.</w:t>
      </w:r>
    </w:p>
    <w:p>
      <w:pPr>
        <w:spacing w:after="0" w:line="15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The federal civil and criminal false claims laws, including the federal False Claims Act, which can be enforced by private citizens through civil whistleblower or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actions, prohibit, among other things, any person or entity from knowingly presenting, or causing to be presented, a false claim for payment to, or approval by,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including the Medicare and Medicaid programs, or knowingly making, using, or causing to be made or used a false record or statement material to a false or fraudulent claim or to avoid, decrease or conceal an obligation to pay money to the federal government.</w:t>
      </w:r>
    </w:p>
    <w:p>
      <w:pPr>
        <w:spacing w:after="0" w:line="16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Additionally, the federal Open Payments program,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and teaching hospitals, or to entities or individuals at the request of, or designated on behalf of, the physicians and teaching hospitals and to report annually specified ownership and investment interests held by physicians and their immediate family members. Beginning in 2022, applicable manufacturers will also be required to report information regarding payments and other transfers of value provided during the previous year to physician assistants, nurse practitioners, clinical nurse specialists, certified nurse anesthetists, anesthesiologist assistants, and certified nurse-midwives.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4"/>
          <w:szCs w:val="14"/>
          <w:color w:val="auto"/>
        </w:rPr>
        <w:t>In addition, we may be subject to data privacy and security regulation by foreign, federal, state and local governments. HIPAA, as amended by the Health Information Technology for Economic and Clinical Health Act, or HITECH, and its implementing regulations, imposes requirements on covered entities, including certain healthcare providers, health plans and healthcare clearinghouses, and their respective business associates, independent contractors or agents of covered entities that receive or obtain individually identifiable health information in connection with providing a service on behalf of a covered entity, and their covered subcontractors, relating to the privacy, security and transmission of individually identifiable health information. Among other things, HITECH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U.S. state and foreign law equivalents may govern the privacy and security of personal information (including key-coded data and health information_, many of which differ from each other in significant ways and may not have the same effect, thus complicating compliance efforts. Efforts to ensure that our current and future business arrangements comply with applicable privacy and data security laws and regulations will involve substantial costs. For example, the European General Data Protection Regulation, or GDPR,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European data protection laws, such as the GDPR, also impose strict rules on the transfer of personal data out of the European Economic Area, Switzerland and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 The GDPR has increased our responsibility and potential liability in relation to personal data that we process or control compared to prior EU law, including in clinical trials, and we may be required to put in place additional mechanisms to ensure compliance with the GDPR and similar data protection laws, which could divert management’s attention and increase our cost of doing business. Likewise, we expect that there will continue to be new proposed laws, regulations and industry standards relating to privacy and data protection in the United States, the EU and other jurisdictions, such as the California Consumer Privacy Act of 2018, or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In any event, it is possible that governmental authorities will conclude that our business practices do not comply with current or future statutes, regulations, agency guidance or case law involving applicable information security or privacy laws in light of the lack of applicable precedent and regulations. Federal, state and foreign enforcement bodies have increased their scrutiny of biotechnology companies, which has led to a number of investigations, prosecutions, convictions, fines, penalties and settlements in the industry.</w:t>
      </w:r>
    </w:p>
    <w:p>
      <w:pPr>
        <w:spacing w:after="0" w:line="35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third-party payor, including commercial insurers. Several states and local jurisdictions have also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Depending on the circumstances, failure to comply with these laws can result in significant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Healthcare Reform Measures</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example, in March 2010, the ACA was passed. The ACA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 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eliminated the health insurer tax.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including the BBA, will remain in effect through 2030 with the exception of a temporary suspension from May 1, 2020 through March 31, 2021 unless additional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is taken in response to the COVID-19 pandemic.</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The Foreign Corrupt Practices Act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Regulation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Resources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2020, we employed 22 full-time employees. We have never had a work stoppage, and none of our employees are represented by a labor organization or under any collective bargaining arrangements. We consider our employee relations to be good.</w:t>
      </w:r>
    </w:p>
    <w:p>
      <w:pPr>
        <w:spacing w:after="0" w:line="15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 and Geographic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We view our operations and manage our business as one operating segment. See our financial statements for a discussion of revenues, operating loss, net loss and total assets.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All of our assets were held in the United States for the years ended December 31, 2020 and 2019.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were incorporated under the laws of the State of Iowa in October 2006 and were reincorporated under the laws of the State of Delaware in May 2014. Our principal executive offices are located at 1180 Celebration Boulevard, Suite 103, Celebration, FL 34747 and our telephone number is (321) 939-3416.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www.kempharm.com</w:t>
      </w:r>
      <w:r>
        <w:rPr>
          <w:rFonts w:ascii="Arial" w:cs="Arial" w:eastAsia="Arial" w:hAnsi="Arial"/>
          <w:sz w:val="16"/>
          <w:szCs w:val="16"/>
          <w:color w:val="auto"/>
        </w:rPr>
        <w:t>. The information contained on our website is not incorporated by reference into this Annual Report on Form 10-K.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6" w:name="page27"/>
    <w:bookmarkEnd w:id="26"/>
    <w:p>
      <w:pPr>
        <w:spacing w:after="0"/>
        <w:tabs>
          <w:tab w:leader="none" w:pos="66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RISK FACTORS.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1A.</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You should carefully consider all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because of factors that are described below and elsewhere in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Development of Our Product Candidates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commercialization of AZSTARYS, APADAZ or any of our other product candidates, if approved, are not successful, or we experience significant delays in commercialization, our business will be harmed.</w:t>
      </w:r>
    </w:p>
    <w:p>
      <w:pPr>
        <w:spacing w:after="0" w:line="15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currently generate no commercial revenue from the sale of any prodrugs and we may never be able to successfully commercialize a prodrug product. For instance,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or that we will ever receive any future payments under the KP415 License Agreement.</w:t>
      </w:r>
    </w:p>
    <w:p>
      <w:pPr>
        <w:spacing w:after="0" w:line="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have also entered into the APADAZ License Agreement with KVK pursuant to which we granted an exclusive license to KVK to commercialize APADAZ in the United States, but we cannot guarantee that KVK will be able to successfully commercialize APADAZ or that we will ever receive any payments under the APADAZ License Agreement from commercial sales of APADAZ.</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have invested substantially all our efforts and financial resources in the development of our proprietary LAT technology, the identification of potential product candidates and the development of our product candidates. Our ability to generate revenue from APADAZ under the APADAZ License Agreement, AZSTARYS under the KP415 License Agreement and generate revenue from any of our other product candidates will depend heavily on their successful development and eventual commercialization. The success of AZSTARYS, APADAZ and any of our other product candidates will depend on several factors, including:</w:t>
      </w:r>
    </w:p>
    <w:p>
      <w:pPr>
        <w:spacing w:after="0" w:line="156" w:lineRule="exact"/>
        <w:rPr>
          <w:sz w:val="20"/>
          <w:szCs w:val="20"/>
          <w:color w:val="auto"/>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successful completion of preclinical studies and requisite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successful completion and achievement of endpoints in our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demonstration that the risks involved with AZSTARYS, APADAZ and any of our other product candidates are outweighed by the benefits;</w:t>
      </w:r>
    </w:p>
    <w:p>
      <w:pPr>
        <w:spacing w:after="0" w:line="198" w:lineRule="exact"/>
        <w:rPr>
          <w:rFonts w:ascii="Arial" w:cs="Arial" w:eastAsia="Arial" w:hAnsi="Arial"/>
          <w:sz w:val="16"/>
          <w:szCs w:val="16"/>
          <w:color w:val="auto"/>
        </w:rPr>
      </w:pPr>
    </w:p>
    <w:p>
      <w:pPr>
        <w:ind w:left="440" w:right="20" w:hanging="217"/>
        <w:spacing w:after="0" w:line="183" w:lineRule="auto"/>
        <w:tabs>
          <w:tab w:leader="none" w:pos="440" w:val="left"/>
        </w:tabs>
        <w:numPr>
          <w:ilvl w:val="0"/>
          <w:numId w:val="12"/>
        </w:numPr>
        <w:rPr>
          <w:rFonts w:ascii="Arial" w:cs="Arial" w:eastAsia="Arial" w:hAnsi="Arial"/>
          <w:sz w:val="30"/>
          <w:szCs w:val="30"/>
          <w:color w:val="auto"/>
          <w:vertAlign w:val="subscript"/>
        </w:rPr>
      </w:pPr>
      <w:r>
        <w:rPr>
          <w:rFonts w:ascii="Arial" w:cs="Arial" w:eastAsia="Arial" w:hAnsi="Arial"/>
          <w:sz w:val="15"/>
          <w:szCs w:val="15"/>
          <w:color w:val="auto"/>
        </w:rPr>
        <w:t>successful development of our manufacturing processes for AZSTARYS under the KP415 License Agreement, APADAZ under the APADAZ License Agreement and for any of our other product candidates, including entering into and maintaining arrangements with third-party manufacturers;</w:t>
      </w:r>
    </w:p>
    <w:p>
      <w:pPr>
        <w:spacing w:after="0" w:line="179" w:lineRule="exact"/>
        <w:rPr>
          <w:rFonts w:ascii="Arial" w:cs="Arial" w:eastAsia="Arial" w:hAnsi="Arial"/>
          <w:sz w:val="30"/>
          <w:szCs w:val="30"/>
          <w:color w:val="auto"/>
          <w:vertAlign w:val="subscript"/>
        </w:rPr>
      </w:pPr>
    </w:p>
    <w:p>
      <w:pPr>
        <w:ind w:left="440" w:hanging="217"/>
        <w:spacing w:after="0" w:line="183" w:lineRule="auto"/>
        <w:tabs>
          <w:tab w:leader="none" w:pos="440" w:val="left"/>
        </w:tabs>
        <w:numPr>
          <w:ilvl w:val="0"/>
          <w:numId w:val="12"/>
        </w:numPr>
        <w:rPr>
          <w:rFonts w:ascii="Arial" w:cs="Arial" w:eastAsia="Arial" w:hAnsi="Arial"/>
          <w:sz w:val="30"/>
          <w:szCs w:val="30"/>
          <w:color w:val="auto"/>
          <w:vertAlign w:val="subscript"/>
        </w:rPr>
      </w:pPr>
      <w:r>
        <w:rPr>
          <w:rFonts w:ascii="Arial" w:cs="Arial" w:eastAsia="Arial" w:hAnsi="Arial"/>
          <w:sz w:val="15"/>
          <w:szCs w:val="15"/>
          <w:color w:val="auto"/>
        </w:rPr>
        <w:t>successful completion of an FDA preapproval inspection of the facilities used to manufacture AZSTARYS, APADAZ and any of our other product candidates, as well as select clinical trial sites;</w:t>
      </w:r>
    </w:p>
    <w:p>
      <w:pPr>
        <w:spacing w:after="0" w:line="179" w:lineRule="exact"/>
        <w:rPr>
          <w:rFonts w:ascii="Arial" w:cs="Arial" w:eastAsia="Arial" w:hAnsi="Arial"/>
          <w:sz w:val="30"/>
          <w:szCs w:val="30"/>
          <w:color w:val="auto"/>
          <w:vertAlign w:val="subscript"/>
        </w:rPr>
      </w:pPr>
    </w:p>
    <w:p>
      <w:pPr>
        <w:ind w:left="440" w:right="20" w:hanging="217"/>
        <w:spacing w:after="0" w:line="183" w:lineRule="auto"/>
        <w:tabs>
          <w:tab w:leader="none" w:pos="440" w:val="left"/>
        </w:tabs>
        <w:numPr>
          <w:ilvl w:val="0"/>
          <w:numId w:val="12"/>
        </w:numPr>
        <w:rPr>
          <w:rFonts w:ascii="Arial" w:cs="Arial" w:eastAsia="Arial" w:hAnsi="Arial"/>
          <w:sz w:val="30"/>
          <w:szCs w:val="30"/>
          <w:color w:val="auto"/>
          <w:vertAlign w:val="subscript"/>
        </w:rPr>
      </w:pPr>
      <w:r>
        <w:rPr>
          <w:rFonts w:ascii="Arial" w:cs="Arial" w:eastAsia="Arial" w:hAnsi="Arial"/>
          <w:sz w:val="15"/>
          <w:szCs w:val="15"/>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differentiating claims in the labels for our product candidates;</w:t>
      </w:r>
    </w:p>
    <w:p>
      <w:pPr>
        <w:spacing w:after="0" w:line="198" w:lineRule="exact"/>
        <w:rPr>
          <w:rFonts w:ascii="Arial" w:cs="Arial" w:eastAsia="Arial" w:hAnsi="Arial"/>
          <w:sz w:val="16"/>
          <w:szCs w:val="16"/>
          <w:color w:val="auto"/>
        </w:rPr>
      </w:pPr>
    </w:p>
    <w:p>
      <w:pPr>
        <w:ind w:left="440" w:right="20" w:hanging="217"/>
        <w:spacing w:after="0" w:line="183" w:lineRule="auto"/>
        <w:tabs>
          <w:tab w:leader="none" w:pos="440" w:val="left"/>
        </w:tabs>
        <w:numPr>
          <w:ilvl w:val="0"/>
          <w:numId w:val="12"/>
        </w:numPr>
        <w:rPr>
          <w:rFonts w:ascii="Arial" w:cs="Arial" w:eastAsia="Arial" w:hAnsi="Arial"/>
          <w:sz w:val="30"/>
          <w:szCs w:val="30"/>
          <w:color w:val="auto"/>
          <w:vertAlign w:val="subscript"/>
        </w:rPr>
      </w:pPr>
      <w:r>
        <w:rPr>
          <w:rFonts w:ascii="Arial" w:cs="Arial" w:eastAsia="Arial" w:hAnsi="Arial"/>
          <w:sz w:val="15"/>
          <w:szCs w:val="15"/>
          <w:color w:val="auto"/>
        </w:rPr>
        <w:t>obtaining and maintaining patent, trademark and trade secret protection and regulatory exclusivity for AZSTARYS, APADAZ and any of our other product candidates and otherwise protecting our rights in our intellectual property portfolio;</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compliance with regulatory requirements, including cGMPs;</w:t>
      </w:r>
    </w:p>
    <w:p>
      <w:pPr>
        <w:spacing w:after="0" w:line="198" w:lineRule="exact"/>
        <w:rPr>
          <w:rFonts w:ascii="Arial" w:cs="Arial" w:eastAsia="Arial" w:hAnsi="Arial"/>
          <w:sz w:val="16"/>
          <w:szCs w:val="16"/>
          <w:color w:val="auto"/>
        </w:rPr>
      </w:pPr>
    </w:p>
    <w:p>
      <w:pPr>
        <w:ind w:left="440" w:right="20" w:hanging="217"/>
        <w:spacing w:after="0" w:line="183" w:lineRule="auto"/>
        <w:tabs>
          <w:tab w:leader="none" w:pos="440" w:val="left"/>
        </w:tabs>
        <w:numPr>
          <w:ilvl w:val="0"/>
          <w:numId w:val="12"/>
        </w:numPr>
        <w:rPr>
          <w:rFonts w:ascii="Arial" w:cs="Arial" w:eastAsia="Arial" w:hAnsi="Arial"/>
          <w:sz w:val="30"/>
          <w:szCs w:val="30"/>
          <w:color w:val="auto"/>
          <w:vertAlign w:val="subscript"/>
        </w:rPr>
      </w:pPr>
      <w:r>
        <w:rPr>
          <w:rFonts w:ascii="Arial" w:cs="Arial" w:eastAsia="Arial" w:hAnsi="Arial"/>
          <w:sz w:val="15"/>
          <w:szCs w:val="15"/>
          <w:color w:val="auto"/>
        </w:rPr>
        <w:t>launching commercial sales of AZSTARYS under the KP415 License Agreement, APADAZ under the APADAZ License Agreement and launching commercial sales of any of our other product candidates, if and when approved, whether alone or in collaboration with Commave or others;</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acceptance of AZSTARYS, APADAZ and any of our other product candidates, if approved, by patients, the medical community and third-party payors;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competing effectively with other therapies;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a continued acceptable safety and efficacy profile of the prodrug products following approval.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6"/>
          <w:szCs w:val="16"/>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KVK could experience an inability to successfully commercialize APADAZ, Corium could experience an inability to successfully commercialize AZSTARYS or any of our other product candidates covered by the KP415 License Agreement, if approved, or we could experience an inability to successfully commercialize any of our other product candidates approved for marketing in the future, if any, which would harm our business.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 key element of our strategy is to use our proprietary LAT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 effective and that have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APADAZ and AZSTARYS are not successfully commercialized under our APADAZ License Agreement or KP415 License Agreement and we do not successfully develop and commercialize any of our other product candidates based upon our proprietary LAT technology, we will not be able to obtain product revenue in future periods, which likely would result in significant harm to our financial position and adversely affect our stock price.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8" w:name="page29"/>
    <w:bookmarkEnd w:id="28"/>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On March 2, 2021, we announced that the FDA approved the NDA for AZSTARYS, a once-daily product for the treatment of ADHD in patients ranging from six years and older. In February 2018, we announced that the FDA approved the NDA for APADAZ for the short-term (no more than 14 days) management of acute pain severe enough to require an opioid analgesic and for which alternative treatments are inadequate. Even with the regulatory approval of AZSTARYS and APADAZ by the FDA, we cannot guarantee that the FDA will approve any of our other product candidates for commercial sale or approve any proposed label we may have for any such product candidate. If our development efforts for our product candidates, including regulatory approval, are not successful for their planned indications or are delayed, or if adequate demand for our product candidates that are approved for marketing, if any, is not generated, our business will be harmed.</w:t>
      </w:r>
    </w:p>
    <w:p>
      <w:pPr>
        <w:spacing w:after="0" w:line="1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52" w:lineRule="exact"/>
        <w:rPr>
          <w:sz w:val="20"/>
          <w:szCs w:val="20"/>
          <w:color w:val="auto"/>
        </w:rPr>
      </w:pPr>
    </w:p>
    <w:p>
      <w:pPr>
        <w:ind w:left="440" w:hanging="217"/>
        <w:spacing w:after="0" w:line="275"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institutional review boards, or IRBs, or ethics committees may disagree with the design or conduct of our clinical trials;</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dosing in a particular clinical trial may not be at an optimal level;</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patients in our clinical trials may suffer adverse effects for reasons that may or may not be related to our product candidates;</w:t>
      </w:r>
    </w:p>
    <w:p>
      <w:pPr>
        <w:spacing w:after="0" w:line="222"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data collected from clinical trials may not be sufficient to support submissions to regulatory authorities or to obtain regulatory approval in the United States or elsewhere;</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 our clinical data insufficient for approval; and</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even if we obtain marketing approval in one or more countries, future safety or other issues could result in the suspension or withdrawal of regulatory approval in such countries.</w:t>
      </w:r>
    </w:p>
    <w:p>
      <w:pPr>
        <w:spacing w:after="0" w:line="15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have only limited experience in filing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6"/>
          <w:szCs w:val="16"/>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foreign and domestic inspections of manufacturing facilities and products, and subsequently, in July 2020, restarted routine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0" w:name="page31"/>
    <w:bookmarkEnd w:id="30"/>
    <w:p>
      <w:pPr>
        <w:jc w:val="both"/>
        <w:ind w:right="20"/>
        <w:spacing w:after="0" w:line="306" w:lineRule="auto"/>
        <w:rPr>
          <w:sz w:val="20"/>
          <w:szCs w:val="20"/>
          <w:color w:val="auto"/>
        </w:rPr>
      </w:pPr>
      <w:r>
        <w:rPr>
          <w:rFonts w:ascii="Arial" w:cs="Arial" w:eastAsia="Arial" w:hAnsi="Arial"/>
          <w:sz w:val="14"/>
          <w:szCs w:val="14"/>
          <w:b w:val="1"/>
          <w:bCs w:val="1"/>
          <w:i w:val="1"/>
          <w:iCs w:val="1"/>
          <w:color w:val="auto"/>
        </w:rPr>
        <w:t>If we, subject to the approval of Commave,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 key element of our strategy is to seek FDA approval for most of our product candidates under Section 505(b)(2) of the Federal Food, Drug and Cosmetic Act,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Such reliance is typically predicated on a showing of bioequivalence or comparable bioavailability to an approved drug.</w:t>
      </w:r>
    </w:p>
    <w:p>
      <w:pPr>
        <w:spacing w:after="0" w:line="151"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For instance, subject to Commave approval, we currently plan on relying on the 505(b)(2) pathway for any NDA submitted for KP484. However, we do not anticipate that the 505(b)(2) pathway will be available for every product candidate. For instance, it is possible we will only be permitted to utilize the 505(b)(2) NDA pathway for either AZSTARYS or KP484, but not both. We utilized the 505(b)(2) NDA pathway for the AZSTARYS NDA which was approved on March 2, 2021. If this were to occur, the time and financial resources required to obtain FDA approval for our product candidates, and complications and risks associated with our product candidates, would likely substantially increase.</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 such as an abbreviated new drug application, or ANDA, which is used for the development of generic drug products.</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addition, notwithstanding the approval of several products by the FDA under 505(b)(2) over the last few years, pharmaceutical companies and others have objected to the FDA’s interpretation of 505(b)(2). If the FDA’s interpretation of 505(b)(2) is successfully challenged, the FDA may change its policies and practices with respect to 505(b)(2) regulatory approvals, which could delay or even prevent the FDA from approving any NDA that we submit under 505(b)(2).</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Even if our product candidates are approved under 505(b)(2), the approval may be subject to limitations on the indicated uses for which the products may be marketed, including more limited subject populations than we request, may require that contraindications, warnings or precautions be included in the product labeling, including a boxed warning, may be subject to other conditions of approval, or may contain requirements for costly post-marketing clinical trials, testing and surveillance to monitor the safety or efficacy of the products, or other post-market requirements, such as a Risk Evaluation and Mitigation Strategy, or REMS. The FDA also may not approve a product candidate with a label that includes the labeling claims necessary or desirable for the successful commercialization of that product candidate. Based upon currently approved products, we anticipate that we will be required to conduct Phase 4 studies and to implement a REMS and will have a boxed warning for at least some of our product candidates, including APADAZ.</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6"/>
          <w:szCs w:val="16"/>
          <w:b w:val="1"/>
          <w:bCs w:val="1"/>
          <w:i w:val="1"/>
          <w:iCs w:val="1"/>
          <w:color w:val="auto"/>
        </w:rPr>
        <w:t>The FDA may determine that any NDA we may submit under the 505(b)(2) regulatory pathway for any of our product candidates in the future is not sufficiently complete to permit a substantive review.</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If we were to submit an NDA under the 505(b)(2) regulatory for any of our product candidates, within 60 days of the agency’s receipt of our NDA, the FDA will make a threshold determination of whether the NDA is sufficiently complete to permit a substantive review. This 60-day review period is referred to as the filing review. If the NDA is sufficiently complete, the FDA will file the NDA. If the agency refuses to file the NDA, it will notify us and state the reason(s) for the refusal. The FDA may refuse to file our NDA for various reasons, including but not limited to, if:</w:t>
      </w:r>
    </w:p>
    <w:p>
      <w:pPr>
        <w:spacing w:after="0" w:line="165" w:lineRule="exact"/>
        <w:rPr>
          <w:sz w:val="20"/>
          <w:szCs w:val="20"/>
          <w:color w:val="auto"/>
        </w:rPr>
      </w:pPr>
    </w:p>
    <w:p>
      <w:pPr>
        <w:ind w:left="440" w:hanging="217"/>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NDA is incomplete because it does not on its face contain the information required under the Federal Food, Drug and Cosmetic Act or the FDA’s regulations;</w:t>
      </w:r>
    </w:p>
    <w:p>
      <w:pPr>
        <w:spacing w:after="0" w:line="233" w:lineRule="exact"/>
        <w:rPr>
          <w:rFonts w:ascii="Arial" w:cs="Arial" w:eastAsia="Arial" w:hAnsi="Arial"/>
          <w:sz w:val="15"/>
          <w:szCs w:val="15"/>
          <w:color w:val="auto"/>
        </w:rPr>
      </w:pPr>
    </w:p>
    <w:p>
      <w:pPr>
        <w:ind w:left="440" w:hanging="217"/>
        <w:spacing w:after="0" w:line="275"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NDA does not contain a statement that each non-clinical laboratory study was conducted in compliance with good laboratory practices requirements, or for each study not so conducted, a brief statement of the reason for the noncompliance;</w:t>
      </w:r>
    </w:p>
    <w:p>
      <w:pPr>
        <w:spacing w:after="0" w:line="151"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NDA does not contain a statement that each clinical trial was conducted in compliance with the IRB regulations or was not subject to those regulations, and the agency’s informed consent regulations or a brief statement of the reason for noncompliance; or</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drug is a duplicate of a listed drug approved before receipt of the NDA and is eligible for approval under an ANDA for generic drugs.</w:t>
      </w:r>
    </w:p>
    <w:p>
      <w:pPr>
        <w:spacing w:after="0" w:line="22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its procedures, the FDA has stated that it could find an NDA submitted under the Section 505(b)(2) regulatory pathway incomplete and refuse to file it if the NDA, among other reasons:</w:t>
      </w:r>
    </w:p>
    <w:p>
      <w:pPr>
        <w:spacing w:after="0" w:line="152" w:lineRule="exact"/>
        <w:rPr>
          <w:sz w:val="20"/>
          <w:szCs w:val="20"/>
          <w:color w:val="auto"/>
        </w:rPr>
      </w:pPr>
    </w:p>
    <w:p>
      <w:pPr>
        <w:ind w:left="440" w:hanging="21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fails to include appropriate literature or a listed drug citation to support the safety or efficacy of the drug product;</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fails to include data necessary to support any aspects of the proposed drug that represent modifications to the listed drug(s) relied upon;</w:t>
      </w:r>
    </w:p>
    <w:p>
      <w:pPr>
        <w:spacing w:after="0" w:line="222"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fails to provide a bridge, for example by providing comparative bioavailability data, between the proposed drug product and the listed drug product to demonstrate that such reliance is scientifically justified;</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uses an unapproved drug as a reference product for the bioequivalence study; or</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fails to provide a patent certification or statement as required by the FDA’s regulations where the 505(b)(2) NDA relies on one or more listed drugs.</w:t>
      </w:r>
    </w:p>
    <w:p>
      <w:pPr>
        <w:spacing w:after="0" w:line="22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Additionally, the FDA will refuse to file an NDA if an approved drug with the same active moiety is entitled to five years of exclusivity, unless the exclusivity period has elapsed, or unless four years of the five-year period have elapsed, and the NDA contains a certification of patent invalidity or non-infringement. An active moiety is the molecule or ion, excluding those appended portions of the molecule that cause the drug to be an ester, salt (including a salt with hydrogen or coordination bond) or other noncovalent derivative (such as a complex, chelate, or clathrate) of the molecule, responsible for the therapeutic activity of the drug substance.</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the FDA refuses to file an NDA submitted by us, we may amend the NDA and resubmit it. In such a case, the FDA will again review the NDA and determine whether it may be filed. There can be no assurance that the FDA will file any NDA submitted by us in the future. If the agency refuses to file an NDA, we will need to address the deficiencies cited by the FDA, which could substantially delay the review process.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2" w:name="page33"/>
    <w:bookmarkEnd w:id="32"/>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may experience numerous unforeseen events during, or as a result of, clinical trials that could delay or prevent our ability to receive marketing approval or commercialize our product candidates, including:</w:t>
      </w:r>
    </w:p>
    <w:p>
      <w:pPr>
        <w:spacing w:after="0" w:line="152" w:lineRule="exact"/>
        <w:rPr>
          <w:sz w:val="20"/>
          <w:szCs w:val="20"/>
          <w:color w:val="auto"/>
        </w:rPr>
      </w:pPr>
    </w:p>
    <w:p>
      <w:pPr>
        <w:ind w:left="440" w:right="20" w:hanging="217"/>
        <w:spacing w:after="0" w:line="27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regulators or IRBs may not authorize us or our investigators to commence a clinical trial, conduct a clinical trial at a prospective trial site or amend clinical trial protocols as needed;</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clinical trial contracts or clinical trial protocols with prospective trial sites and CROs;</w:t>
      </w:r>
    </w:p>
    <w:p>
      <w:pPr>
        <w:spacing w:after="0" w:line="245" w:lineRule="exact"/>
        <w:rPr>
          <w:rFonts w:ascii="Arial" w:cs="Arial" w:eastAsia="Arial" w:hAnsi="Arial"/>
          <w:sz w:val="14"/>
          <w:szCs w:val="14"/>
          <w:color w:val="auto"/>
        </w:rPr>
      </w:pPr>
    </w:p>
    <w:p>
      <w:pPr>
        <w:ind w:left="440" w:hanging="217"/>
        <w:spacing w:after="0" w:line="27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trial protocols, or meet their contractual obligations to us in a timely manner, or at all;</w:t>
      </w:r>
    </w:p>
    <w:p>
      <w:pPr>
        <w:spacing w:after="0" w:line="233" w:lineRule="exact"/>
        <w:rPr>
          <w:rFonts w:ascii="Arial" w:cs="Arial" w:eastAsia="Arial" w:hAnsi="Arial"/>
          <w:sz w:val="15"/>
          <w:szCs w:val="15"/>
          <w:color w:val="auto"/>
        </w:rPr>
      </w:pPr>
    </w:p>
    <w:p>
      <w:pPr>
        <w:ind w:left="440" w:right="20" w:hanging="217"/>
        <w:spacing w:after="0" w:line="27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including if we are not able to pursue the 505(b)(2) NDA pathway for approval of our product candidates;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will need to pay substantial application user fees, which we may not be able to afford;</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33" w:lineRule="exact"/>
        <w:rPr>
          <w:rFonts w:ascii="Arial" w:cs="Arial" w:eastAsia="Arial" w:hAnsi="Arial"/>
          <w:sz w:val="15"/>
          <w:szCs w:val="15"/>
          <w:color w:val="auto"/>
        </w:rPr>
      </w:pPr>
    </w:p>
    <w:p>
      <w:pPr>
        <w:ind w:left="440" w:hanging="217"/>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abandon our development program or programs based on the changing regulatory or commercial environment;</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authorities may not agree with our trial design or implementation; and</w:t>
      </w:r>
    </w:p>
    <w:p>
      <w:pPr>
        <w:spacing w:after="0" w:line="222"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regulators or IRBs to suspend or terminate the trials.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3" w:name="page34"/>
    <w:bookmarkEnd w:id="33"/>
    <w:p>
      <w:pPr>
        <w:jc w:val="both"/>
        <w:ind w:right="20"/>
        <w:spacing w:after="0" w:line="26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62" w:lineRule="exact"/>
        <w:rPr>
          <w:sz w:val="20"/>
          <w:szCs w:val="20"/>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approval but without the claims necessary for us to successfully commercialize our product candidates;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safety warnings;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 subject to additional post-marketing testing, surveillance, or other requirements, such as REMS; or</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prodrug development costs may also increase if we experience delays in testing or obtaining marketing approvals. Additionally, if we do not successfully develop any product candidates subject to the KP415 License Agreement, we may not be eligible to receive any future payments under the KP415 License Agreement.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towards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decision to seek approval of our product candidates under the 505(b)(2) NDA pathway, if available, may increase the risk that patent infringement suits are filed against us, which would delay the FDA’s approval of such product candidates.</w:t>
      </w:r>
    </w:p>
    <w:p>
      <w:pPr>
        <w:spacing w:after="0" w:line="152"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develop a prodrug-based product that might allow us to seek a rare pediatric disease priority review voucher.</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FDA has awarded rare pediatric disease priority review vouchers to sponsors of drug candidates to treat rare pediatric disease, if the treatment sponsors apply for this designation and meet certain criteria. Under this program, upon the approval of a qualifying NDA, for the treatment of a rare pediatric disease, the sponsor of such an application would be eligible for a rare pediatric disease priority review voucher that can be used to obtain priority review for a subsequent NDA. The priority review voucher may be sold or transferred an unlimited number of times.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previously announced a technology licensing agreement with Genco Sciences, LLC to develop prodrug-based therapy for potential rare pediatric indications of Tourette’s Syndrome with ADHD. We cannot guarantee that we will be successful in this effort to develop such a prodrug-based therapy. Additionally, we cannot guarantee that the FDA would grant us a rare pediatric disease designation for such a prodrug-based product candidate. Even if the FDA grants us a rare pediatric disease designation for one of our prodrug-based product candidates, designation of a drug as a drug for a rare pediatric disease does not guarantee that an NDA for such drug will meet the eligibility criteria for a rare pediatric disease priority review voucher at the time the application is approved.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5" w:name="page36"/>
    <w:bookmarkEnd w:id="35"/>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AZSTARYS, APADAZ and certain of our other product candidates contain controlled substances, the manufacture, use, sale, importation, exportation, prescribing and distribution of which are subject to regulation by the DEA.</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The FDA has recommended that AZSTARYS be regulated as a "controlled substance" as defined in the CSA. For APADAZ, the DEA has determined it to be a Schedule II drug. We expect that most of our other product candidates, including KP484 and KP879,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A number of states and foreign countries also independently regulate these drugs as controlled substances.</w:t>
      </w:r>
    </w:p>
    <w:p>
      <w:pPr>
        <w:spacing w:after="0" w:line="159"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27" w:lineRule="exact"/>
        <w:rPr>
          <w:sz w:val="20"/>
          <w:szCs w:val="20"/>
          <w:color w:val="auto"/>
        </w:rPr>
      </w:pPr>
    </w:p>
    <w:p>
      <w:pPr>
        <w:ind w:left="440" w:hanging="217"/>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drug has a high potential for abuse;</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abuse of the drug may lead to severe psychological or physical dependence.</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We expect that most of our current product candidates may be listed by the DEA as Schedule II controlled substances under the CSA. If our product candidates are listed as Schedule II controlled substances, then the importation of the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addition, a DEA quota system controls and limits the availability and production of controlled substances in Schedule I or II.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if our product candidates are approved for marketing.</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Because of their restrictive nature, these laws and regulations could limit commercialization of our product candidates containing controlled substances. States may also have their own controlled substance laws that may further restrict and regulate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subjects in clinical trials, our receipt of necessary regulatory approvals could be delayed or prevented.</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70" w:lineRule="exact"/>
        <w:rPr>
          <w:sz w:val="20"/>
          <w:szCs w:val="20"/>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size and nature of the subject population specified in the trial protocol;</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eligibility criteria for the study in question;</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fact that the product candidate is a controlled substance;</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severe or unexpected drug-related adverse events experienced by subjects in a clinical trial;</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availability of drugs approved to treat the diseases or conditions under study;</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severity of the disease or condition under investigation;</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obtain and maintain subject informed consent;</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retain subjects in the clinical trial and their return for follow-up;</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clinical trial design, including required tests, procedures and follow-up;</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monitor subjects adequately during and after treatment;</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adding new investigators and clinical sites;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withdrawal of clinical trial sites from clinical trials; and</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subjects.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7" w:name="page38"/>
    <w:bookmarkEnd w:id="37"/>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Social issues around the abuse of opioids and stimulants, including law enforcement concerns over diversion and regulatory efforts to combat abuse, could decrease the potential market for AZSTARYS, APADAZ or any of our other applicable product candidates.</w:t>
      </w:r>
    </w:p>
    <w:p>
      <w:pPr>
        <w:spacing w:after="0" w:line="152"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AZSTARYS under the KP415 License Agreement, APADAZ under the APADAZ License Agreement or to commercialize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AZSTARYS, APADAZ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Additionally, efforts by the FDA and other regulatory bodies to combat abuse of opioids and stimulants may negatively impact the market for AZSTARYS, APADAZ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for APADAZ or our other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AZSTARYS, APADAZ or any of our other applicable product candidates.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Risks Related to Our Financial Position and Capital Needs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maintain effective internal control over financial reporting could harm us.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If our management is unable to conclude that we have effective internal control over financial reporting, or to certify the effectiveness of such controls,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have incurred significant recurring negative net operating cash flows. We expect to incur minimal positive net operating cash flows or negative net operating cash flows over the next several years and may never achieve or maintain profitability.</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had recurring negative net operating cash flows and, as of December 31, 2020, had an accumulated deficit of $258.5 million. For the years ended December 31, 2020 and 2019 net cash used in operations was $1.9 million and of $23.7 million, respectively. We have financed our operations through December 31, 2020 with funds raised in private placements of redeemable convertible preferred stock, in the issuance of convertible promissory notes and term debt, our initial public offering and other public and private offerings of our common stock, as well as through revenue received under the KP415 License Agreement, the Corium Consulting Agreement and other consulting arrangements.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two products, AZSTARYS and APADAZ. We expect to continue to incur significant expenses and operating losses over the next several years and our net losses may fluctuate significantly from quarter to quarter and year to year as we:</w:t>
      </w:r>
    </w:p>
    <w:p>
      <w:pPr>
        <w:spacing w:after="0" w:line="165" w:lineRule="exact"/>
        <w:rPr>
          <w:sz w:val="20"/>
          <w:szCs w:val="20"/>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continue our ongoing preclinical studies, clinical trials and our product development activities for our pipeline of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seek regulatory approvals for product candidates that successfully complete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continue research and preclinical development and initiate clinical trials of our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seek to discover and develop additional product candidates either internally or in partnership with other pharmaceutical companies;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adapt our regulatory compliance efforts to incorporate requirements applicable to marketed products;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incur additional legal, accounting and other expenses in operating as a public company;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 operational systems and personnel, if needed, to support any future commercialization efforts.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39" w:name="page40"/>
    <w:bookmarkEnd w:id="39"/>
    <w:p>
      <w:pPr>
        <w:jc w:val="both"/>
        <w:ind w:right="20"/>
        <w:spacing w:after="0" w:line="252" w:lineRule="auto"/>
        <w:rPr>
          <w:sz w:val="20"/>
          <w:szCs w:val="20"/>
          <w:color w:val="auto"/>
        </w:rPr>
      </w:pPr>
      <w:r>
        <w:rPr>
          <w:rFonts w:ascii="Arial" w:cs="Arial" w:eastAsia="Arial" w:hAnsi="Arial"/>
          <w:sz w:val="16"/>
          <w:szCs w:val="16"/>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For instance,</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September 2019,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if approved, or that we will ever receive any future payments under the KP415 License Agreement. In addition,</w:t>
      </w:r>
    </w:p>
    <w:p>
      <w:pPr>
        <w:jc w:val="both"/>
        <w:ind w:right="20"/>
        <w:spacing w:after="0" w:line="252" w:lineRule="auto"/>
        <w:rPr>
          <w:sz w:val="20"/>
          <w:szCs w:val="20"/>
          <w:color w:val="auto"/>
        </w:rPr>
      </w:pPr>
      <w:r>
        <w:rPr>
          <w:rFonts w:ascii="Arial" w:cs="Arial" w:eastAsia="Arial" w:hAnsi="Arial"/>
          <w:sz w:val="16"/>
          <w:szCs w:val="16"/>
          <w:color w:val="auto"/>
        </w:rPr>
        <w:t>in October 2018, we entered into the APADAZ License Agreement with KVK pursuant to which we granted an exclusive license to KVK to commercialize APADAZ in the United States. We cannot guarantee that KVK will be able to successfully commercialize APADAZ or that we will ever receive any payments under the APADAZ License Agreement from commercial sales of APADAZ. We may never succeed in commercialization activities and, even if we do, may never generate revenue that is significant enough to achieve profitability.</w:t>
      </w:r>
    </w:p>
    <w:p>
      <w:pPr>
        <w:spacing w:after="0" w:line="171" w:lineRule="exact"/>
        <w:rPr>
          <w:sz w:val="20"/>
          <w:szCs w:val="20"/>
          <w:color w:val="auto"/>
        </w:rPr>
      </w:pPr>
    </w:p>
    <w:p>
      <w:pPr>
        <w:jc w:val="both"/>
        <w:ind w:right="20"/>
        <w:spacing w:after="0" w:line="294" w:lineRule="auto"/>
        <w:rPr>
          <w:sz w:val="20"/>
          <w:szCs w:val="20"/>
          <w:color w:val="auto"/>
        </w:rPr>
      </w:pPr>
      <w:r>
        <w:rPr>
          <w:rFonts w:ascii="Arial" w:cs="Arial" w:eastAsia="Arial" w:hAnsi="Arial"/>
          <w:sz w:val="14"/>
          <w:szCs w:val="14"/>
          <w:color w:val="auto"/>
        </w:rPr>
        <w:t>In March 2020, the World Health Organization declared the outbreak of COVID-19 a global pandemic. This outbreak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If the pandemic continues to be a severe worldwide crisis, it could have a material adverse effect on our business, results of operations, financial condition, and cash flows.</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AZSTARYS, APADAZ or any of our other product candidates, if approved, may not achieve commercial success. Our commercial revenue, if any, will be derived from sales of prodrug products. We cannot guarantee that Commave will be able to successfully commercialize AZSTARYS or any of the other product candidates subject to the KP415 License Agreement, even if approved, that KVK will be able to successfully commercialize APADAZ or that we will ever receive any payments under the KP415 License Agreement from the commercial sales of AZSTARYS or any future payments under the KP415 License Agreement or payment under the APADAZ License Agreement from commercial sales of APADAZ.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0" w:name="page41"/>
    <w:bookmarkEnd w:id="40"/>
    <w:p>
      <w:pPr>
        <w:jc w:val="both"/>
        <w:spacing w:after="0" w:line="275" w:lineRule="auto"/>
        <w:rPr>
          <w:sz w:val="20"/>
          <w:szCs w:val="20"/>
          <w:color w:val="auto"/>
        </w:rPr>
      </w:pPr>
      <w:r>
        <w:rPr>
          <w:rFonts w:ascii="Arial" w:cs="Arial" w:eastAsia="Arial" w:hAnsi="Arial"/>
          <w:sz w:val="16"/>
          <w:szCs w:val="16"/>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expect that our only sources of revenues will be through payments arising from our license agreements with Commave and KVK, or through the Corium Consulting Agreement or other potential consulting arrangements and any other future arrangements related to one of our other product candidates. We cannot guarantee that we will be able to generate sufficient proceeds from the KP415 License Agreement, the APADAZ License Agreement, the Corium Consulting Agreement or other consulting arrangements, or be successful in completing other transactions, that will fully fund our operating expenses. Further, the economic uncertainty surrounding the COVID-19 pandemic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72" w:lineRule="exact"/>
        <w:rPr>
          <w:sz w:val="20"/>
          <w:szCs w:val="20"/>
          <w:color w:val="auto"/>
        </w:rPr>
      </w:pPr>
    </w:p>
    <w:p>
      <w:pPr>
        <w:ind w:left="440" w:right="20" w:hanging="217"/>
        <w:spacing w:after="0" w:line="183" w:lineRule="auto"/>
        <w:tabs>
          <w:tab w:leader="none" w:pos="440" w:val="left"/>
        </w:tabs>
        <w:numPr>
          <w:ilvl w:val="0"/>
          <w:numId w:val="21"/>
        </w:numPr>
        <w:rPr>
          <w:rFonts w:ascii="Arial" w:cs="Arial" w:eastAsia="Arial" w:hAnsi="Arial"/>
          <w:sz w:val="30"/>
          <w:szCs w:val="30"/>
          <w:color w:val="auto"/>
          <w:vertAlign w:val="subscript"/>
        </w:rPr>
      </w:pPr>
      <w:r>
        <w:rPr>
          <w:rFonts w:ascii="Arial" w:cs="Arial" w:eastAsia="Arial" w:hAnsi="Arial"/>
          <w:sz w:val="15"/>
          <w:szCs w:val="15"/>
          <w:color w:val="auto"/>
        </w:rPr>
        <w:t>the progress and results of our preclinical studies, clinical trials, chemistry, manufacturing and controls, or CMC, and other product development and commercialization activities;</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laboratory testing and clinical trials for our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obtain differentiating claims in the labels for our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and development requirements of other product candidates that we may pursue;</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efforts necessary to institute post-approval regulatory compliance requirements;</w:t>
      </w:r>
    </w:p>
    <w:p>
      <w:pPr>
        <w:spacing w:after="0" w:line="198" w:lineRule="exact"/>
        <w:rPr>
          <w:rFonts w:ascii="Arial" w:cs="Arial" w:eastAsia="Arial" w:hAnsi="Arial"/>
          <w:sz w:val="16"/>
          <w:szCs w:val="16"/>
          <w:color w:val="auto"/>
        </w:rPr>
      </w:pPr>
    </w:p>
    <w:p>
      <w:pPr>
        <w:ind w:left="440" w:right="20" w:hanging="217"/>
        <w:spacing w:after="0" w:line="183" w:lineRule="auto"/>
        <w:tabs>
          <w:tab w:leader="none" w:pos="440" w:val="left"/>
        </w:tabs>
        <w:numPr>
          <w:ilvl w:val="0"/>
          <w:numId w:val="21"/>
        </w:numPr>
        <w:rPr>
          <w:rFonts w:ascii="Arial" w:cs="Arial" w:eastAsia="Arial" w:hAnsi="Arial"/>
          <w:sz w:val="30"/>
          <w:szCs w:val="30"/>
          <w:color w:val="auto"/>
          <w:vertAlign w:val="subscript"/>
        </w:rPr>
      </w:pPr>
      <w:r>
        <w:rPr>
          <w:rFonts w:ascii="Arial" w:cs="Arial" w:eastAsia="Arial" w:hAnsi="Arial"/>
          <w:sz w:val="15"/>
          <w:szCs w:val="15"/>
          <w:color w:val="auto"/>
        </w:rPr>
        <w:t>the costs and timing of future commercialization activities, including product manufacturing, marketing, sales and distribution, for any of our product candidates for which we receive marketing approval;</w:t>
      </w:r>
    </w:p>
    <w:p>
      <w:pPr>
        <w:spacing w:after="0" w:line="179" w:lineRule="exact"/>
        <w:rPr>
          <w:rFonts w:ascii="Arial" w:cs="Arial" w:eastAsia="Arial" w:hAnsi="Arial"/>
          <w:sz w:val="30"/>
          <w:szCs w:val="30"/>
          <w:color w:val="auto"/>
          <w:vertAlign w:val="subscript"/>
        </w:rPr>
      </w:pPr>
    </w:p>
    <w:p>
      <w:pPr>
        <w:jc w:val="both"/>
        <w:ind w:left="440" w:hanging="217"/>
        <w:spacing w:after="0" w:line="276" w:lineRule="auto"/>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commercial revenue, if any, received from commercial sales of AZSTARYS under our KP415 License Agreement, APADAZ under our APADAZ License Agreement, or any of our other product candidates subject to the terms of the KP415 License agreement, or sales of our other product candidates for which we receive marketing approval in the future, which may be affected by market conditions, including obtaining coverage and adequate reimbursement of AZSTARYS, APADAZ, or any of our other product candidates, from third-party payors, including government programs and managed care organizations, and competition within the therapeutic class to which AZSTARYS, APADAZ, or any our other product candidates are assigned;</w:t>
      </w:r>
    </w:p>
    <w:p>
      <w:pPr>
        <w:spacing w:after="0" w:line="155" w:lineRule="exact"/>
        <w:rPr>
          <w:rFonts w:ascii="Arial" w:cs="Arial" w:eastAsia="Arial" w:hAnsi="Arial"/>
          <w:sz w:val="15"/>
          <w:szCs w:val="15"/>
          <w:color w:val="auto"/>
        </w:rPr>
      </w:pPr>
    </w:p>
    <w:p>
      <w:pPr>
        <w:ind w:left="440" w:hanging="217"/>
        <w:spacing w:after="0" w:line="183" w:lineRule="auto"/>
        <w:tabs>
          <w:tab w:leader="none" w:pos="440" w:val="left"/>
        </w:tabs>
        <w:numPr>
          <w:ilvl w:val="0"/>
          <w:numId w:val="21"/>
        </w:numPr>
        <w:rPr>
          <w:rFonts w:ascii="Arial" w:cs="Arial" w:eastAsia="Arial" w:hAnsi="Arial"/>
          <w:sz w:val="30"/>
          <w:szCs w:val="30"/>
          <w:color w:val="auto"/>
          <w:vertAlign w:val="subscript"/>
        </w:rPr>
      </w:pPr>
      <w:r>
        <w:rPr>
          <w:rFonts w:ascii="Arial" w:cs="Arial" w:eastAsia="Arial" w:hAnsi="Arial"/>
          <w:sz w:val="15"/>
          <w:szCs w:val="15"/>
          <w:color w:val="auto"/>
        </w:rPr>
        <w:t>the success of our partner, Commave, in commercializing AZSTARYS, or the successful development of other Additional Products or other Licensed Products in accordance with the terms of the KP415 License Agreement;</w:t>
      </w:r>
    </w:p>
    <w:p>
      <w:pPr>
        <w:spacing w:after="0" w:line="179" w:lineRule="exact"/>
        <w:rPr>
          <w:rFonts w:ascii="Arial" w:cs="Arial" w:eastAsia="Arial" w:hAnsi="Arial"/>
          <w:sz w:val="30"/>
          <w:szCs w:val="30"/>
          <w:color w:val="auto"/>
          <w:vertAlign w:val="subscript"/>
        </w:rPr>
      </w:pPr>
    </w:p>
    <w:p>
      <w:pPr>
        <w:ind w:left="440" w:right="20" w:hanging="217"/>
        <w:spacing w:after="0" w:line="183" w:lineRule="auto"/>
        <w:tabs>
          <w:tab w:leader="none" w:pos="440" w:val="left"/>
        </w:tabs>
        <w:numPr>
          <w:ilvl w:val="0"/>
          <w:numId w:val="21"/>
        </w:numPr>
        <w:rPr>
          <w:rFonts w:ascii="Arial" w:cs="Arial" w:eastAsia="Arial" w:hAnsi="Arial"/>
          <w:sz w:val="30"/>
          <w:szCs w:val="30"/>
          <w:color w:val="auto"/>
          <w:vertAlign w:val="subscript"/>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product candidates and technologies.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1" w:name="page42"/>
    <w:bookmarkEnd w:id="41"/>
    <w:p>
      <w:pPr>
        <w:jc w:val="both"/>
        <w:ind w:left="4" w:right="20"/>
        <w:spacing w:after="0" w:line="275" w:lineRule="auto"/>
        <w:rPr>
          <w:sz w:val="20"/>
          <w:szCs w:val="20"/>
          <w:color w:val="auto"/>
        </w:rPr>
      </w:pPr>
      <w:r>
        <w:rPr>
          <w:rFonts w:ascii="Arial" w:cs="Arial" w:eastAsia="Arial" w:hAnsi="Arial"/>
          <w:sz w:val="16"/>
          <w:szCs w:val="16"/>
          <w:b w:val="1"/>
          <w:bCs w:val="1"/>
          <w:i w:val="1"/>
          <w:iCs w:val="1"/>
          <w:color w:val="auto"/>
        </w:rPr>
        <w:t>We may not be entitled to forgiveness of our recently received Paycheck Protection Program loan, and our application for the Paycheck Protection Program loan could in the future be determined to have been impermissible or could result in damage to our reputation.</w:t>
      </w:r>
    </w:p>
    <w:p>
      <w:pPr>
        <w:spacing w:after="0" w:line="15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On April 23, 2020 we received proceeds of $0.8 million from a loan, or the PPP Loan, under the Paycheck Protection Program, or the PPP, of the recently enacted Coronavirus Aid, Relief, and Economic Security Act, or the CARES Act, a portion of which may be forgiven, which we used to retain current employees, maintain payroll and make lease and utility payments. The PPP Loan matures on April 23, 2022 and bears annual interest at a rate of 1.0%. Payments of principal and interest on the PPP Loan were originally deferred for the first six months of the PPP Loan term. Thereafter, we would have been required to pay the lender equal monthly payments of principal and interest.</w:t>
      </w:r>
    </w:p>
    <w:p>
      <w:pPr>
        <w:spacing w:after="0" w:line="170"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The CARES Act and the PPP provide a mechanism for forgiveness of up to the full amount borrowed. Under the PPP, we may apply for and be granted forgiveness for all or part of the PPP Loan. The amount of loan proceeds eligible for forgiveness was originally based on a formula that takes into account a number of factors, including the amount of loan proceeds used by us during the eight-week period after the loan origination for certain purposes, including payroll costs, interest on certain mortgage obligations, rent payments on certain leases, and certain qualified utility payments, provided that at least 75% of the loan amount was used for eligible payroll costs. Subject to the other requirements and limitations on loan forgiveness, only loan proceeds spent on payroll and other eligible costs during the covered eight-week period would have qualified for forgiveness.</w:t>
      </w:r>
    </w:p>
    <w:p>
      <w:pPr>
        <w:spacing w:after="0" w:line="170"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On June 5, 2020, President Trump signed into law the PPP Flexibility Act of 2020, or the Flexibility Act, which among other things provided the following important changes to the PPP:</w:t>
      </w:r>
    </w:p>
    <w:p>
      <w:pPr>
        <w:spacing w:after="0" w:line="152" w:lineRule="exact"/>
        <w:rPr>
          <w:sz w:val="20"/>
          <w:szCs w:val="20"/>
          <w:color w:val="auto"/>
        </w:rPr>
      </w:pPr>
    </w:p>
    <w:p>
      <w:pPr>
        <w:jc w:val="both"/>
        <w:ind w:left="444" w:hanging="217"/>
        <w:spacing w:after="0" w:line="262"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Extended the covered period for loan forgiveness from eight weeks after the date of loan disbursement to 24 weeks after the date of loan disbursement, providing substantially greater flexibility for borrowers to qualify for loan forgiveness. Borrowers who had already received PPP loans retained the option to use an eight-week covered period.</w:t>
      </w:r>
    </w:p>
    <w:p>
      <w:pPr>
        <w:spacing w:after="0" w:line="162" w:lineRule="exact"/>
        <w:rPr>
          <w:rFonts w:ascii="Arial" w:cs="Arial" w:eastAsia="Arial" w:hAnsi="Arial"/>
          <w:sz w:val="16"/>
          <w:szCs w:val="16"/>
          <w:color w:val="auto"/>
        </w:rPr>
      </w:pPr>
    </w:p>
    <w:p>
      <w:pPr>
        <w:jc w:val="both"/>
        <w:ind w:left="444" w:right="20" w:hanging="217"/>
        <w:spacing w:after="0" w:line="258"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Lowered the requirements that 75 percent of a borrower’s loan proceeds must be used for payroll costs and that 75 percent of the loan forgiveness amount must have been spent on payroll costs during the 24-week loan forgiveness covered period to 60 percent for each of these requirements. If a borrower uses less than 60 percent of the loan amount for payroll costs during the forgiveness covered period, the borrower will continue to be eligible for partial loan forgiveness, subject to at least 60 percent of the loan forgiveness amount having been used for payroll costs.</w:t>
      </w:r>
    </w:p>
    <w:p>
      <w:pPr>
        <w:spacing w:after="0" w:line="164" w:lineRule="exact"/>
        <w:rPr>
          <w:rFonts w:ascii="Arial" w:cs="Arial" w:eastAsia="Arial" w:hAnsi="Arial"/>
          <w:sz w:val="16"/>
          <w:szCs w:val="16"/>
          <w:color w:val="auto"/>
        </w:rPr>
      </w:pPr>
    </w:p>
    <w:p>
      <w:pPr>
        <w:jc w:val="both"/>
        <w:ind w:left="444" w:hanging="217"/>
        <w:spacing w:after="0" w:line="258"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Provided a safe harbor from reductions in loan forgiveness based on reductions in full-time equivalent employees for borrowers that are unable to return to the same level of business activity the business was operating at before February 15, 2020, due to compliance with requirements or guidance issued between March 1, 2020 and December 31, 2020 by the Secretary of Health and Human Services, the Director of the Centers for Disease Control and Prevention, or the Occupational Safety and Health Administration, related to worker or customer safety requirements related to COVID–19.</w:t>
      </w:r>
    </w:p>
    <w:p>
      <w:pPr>
        <w:spacing w:after="0" w:line="164" w:lineRule="exact"/>
        <w:rPr>
          <w:rFonts w:ascii="Arial" w:cs="Arial" w:eastAsia="Arial" w:hAnsi="Arial"/>
          <w:sz w:val="16"/>
          <w:szCs w:val="16"/>
          <w:color w:val="auto"/>
        </w:rPr>
      </w:pPr>
    </w:p>
    <w:p>
      <w:pPr>
        <w:jc w:val="both"/>
        <w:ind w:left="444" w:right="20" w:hanging="217"/>
        <w:spacing w:after="0" w:line="262"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Provided a safe harbor from reductions in loan forgiveness based on reductions in full-time equivalent employees, to provide protections for borrowers that are both unable to rehire individuals who were employees of the borrower on February 15, 2020, and unable to hire similarly qualified employees for unfilled positions by December 31, 2020.</w:t>
      </w:r>
    </w:p>
    <w:p>
      <w:pPr>
        <w:spacing w:after="0" w:line="162" w:lineRule="exact"/>
        <w:rPr>
          <w:rFonts w:ascii="Arial" w:cs="Arial" w:eastAsia="Arial" w:hAnsi="Arial"/>
          <w:sz w:val="16"/>
          <w:szCs w:val="16"/>
          <w:color w:val="auto"/>
        </w:rPr>
      </w:pPr>
    </w:p>
    <w:p>
      <w:pPr>
        <w:ind w:left="444" w:right="20" w:hanging="217"/>
        <w:spacing w:after="0" w:line="275"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to five years the maturity of PPP loans that are approved by the U.S. Small Business Administration, or the SBA, (based on the date SBA assigns a loan number) on or after June 5, 2020.</w:t>
      </w:r>
    </w:p>
    <w:p>
      <w:pPr>
        <w:spacing w:after="0" w:line="151" w:lineRule="exact"/>
        <w:rPr>
          <w:rFonts w:ascii="Arial" w:cs="Arial" w:eastAsia="Arial" w:hAnsi="Arial"/>
          <w:sz w:val="16"/>
          <w:szCs w:val="16"/>
          <w:color w:val="auto"/>
        </w:rPr>
      </w:pPr>
    </w:p>
    <w:p>
      <w:pPr>
        <w:ind w:left="444" w:right="20" w:hanging="217"/>
        <w:spacing w:after="0" w:line="309" w:lineRule="auto"/>
        <w:tabs>
          <w:tab w:leader="none" w:pos="444"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Extended the deferral period for borrower payments of principal, interest, and fees on PPP loans to the date that SBA remits the borrower’s loan forgiveness amount to the lender (or, if the borrower does not apply for loan forgiveness, 10 months after the end of the borrower’s loan forgiveness covered period).</w:t>
      </w:r>
    </w:p>
    <w:p>
      <w:pPr>
        <w:spacing w:after="0" w:line="129" w:lineRule="exact"/>
        <w:rPr>
          <w:sz w:val="20"/>
          <w:szCs w:val="20"/>
          <w:color w:val="auto"/>
        </w:rPr>
      </w:pPr>
    </w:p>
    <w:p>
      <w:pPr>
        <w:jc w:val="both"/>
        <w:ind w:left="4"/>
        <w:spacing w:after="0" w:line="295" w:lineRule="auto"/>
        <w:rPr>
          <w:sz w:val="20"/>
          <w:szCs w:val="20"/>
          <w:color w:val="auto"/>
        </w:rPr>
      </w:pPr>
      <w:r>
        <w:rPr>
          <w:rFonts w:ascii="Arial" w:cs="Arial" w:eastAsia="Arial" w:hAnsi="Arial"/>
          <w:sz w:val="14"/>
          <w:szCs w:val="14"/>
          <w:color w:val="auto"/>
        </w:rPr>
        <w:t>Based on the changes provided by the Flexibility Act we plan to take advantage of (i) the extended covered period for loan forgiveness from eight weeks to 24 weeks, (ii) the lowered requirement that a certain percentage of loan proceeds must be used for payroll costs from 75 percent to 60 percent, (iii) the extended deferral period for payments of principal, interest and fees from six months after loan disbursement to 10 months after the SBA remits the borrower’s loan forgiveness amount to the lender and (iv) take advantage of an safe harbor provisions as applicable. We will be required to repay any portion of the outstanding principal that is not forgiven, along with accrued interest, in accordance with the amortization schedule described above. Based on the changes provided by the Flexibility Act we expect that substantially all of the PPP loan will be forgiven, however, we cannot provide any assurance that we will be eligible for loan forgiveness, or that any amount of the PPP Loan will ultimately be forgiven by the SBA. We submitted our application for loan forgiveness of the full amount of the PPP Loan under the applicable SBA guidance and are waiting for a decision on that application.</w:t>
      </w:r>
    </w:p>
    <w:p>
      <w:pPr>
        <w:spacing w:after="0" w:line="144" w:lineRule="exact"/>
        <w:rPr>
          <w:sz w:val="20"/>
          <w:szCs w:val="20"/>
          <w:color w:val="auto"/>
        </w:rPr>
      </w:pPr>
    </w:p>
    <w:p>
      <w:pPr>
        <w:jc w:val="both"/>
        <w:ind w:left="4"/>
        <w:spacing w:after="0" w:line="287" w:lineRule="auto"/>
        <w:rPr>
          <w:sz w:val="20"/>
          <w:szCs w:val="20"/>
          <w:color w:val="auto"/>
        </w:rPr>
      </w:pPr>
      <w:r>
        <w:rPr>
          <w:rFonts w:ascii="Arial" w:cs="Arial" w:eastAsia="Arial" w:hAnsi="Arial"/>
          <w:sz w:val="14"/>
          <w:szCs w:val="14"/>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of the CARES Act. The certification described above does not contain any objective criteria and is subject to interpretation. On April 23, 2020, the SBA issued guidance stating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given our company’s circumstances we satisfied all eligible requirements for the PPP Loan, we are later determined to have violated any of the laws or governmental regulations that apply to us in connection with the PPP Loan, such as the False Claims Act, or it is otherwise determined that we were ineligible to receive the PPP Loan, we may be subject to penalties, including significant civil, criminal and administrative penalties and could be required to repay the PPP Loan in its entirety. In addition, receipt of a</w:t>
      </w:r>
    </w:p>
    <w:p>
      <w:pPr>
        <w:spacing w:after="0" w:line="1" w:lineRule="exact"/>
        <w:rPr>
          <w:sz w:val="20"/>
          <w:szCs w:val="20"/>
          <w:color w:val="auto"/>
        </w:rPr>
      </w:pPr>
    </w:p>
    <w:p>
      <w:pPr>
        <w:jc w:val="both"/>
        <w:ind w:left="4" w:right="20" w:hanging="4"/>
        <w:spacing w:after="0" w:line="279" w:lineRule="auto"/>
        <w:tabs>
          <w:tab w:leader="none" w:pos="317" w:val="left"/>
        </w:tabs>
        <w:numPr>
          <w:ilvl w:val="0"/>
          <w:numId w:val="23"/>
        </w:numPr>
        <w:rPr>
          <w:rFonts w:ascii="Arial" w:cs="Arial" w:eastAsia="Arial" w:hAnsi="Arial"/>
          <w:sz w:val="15"/>
          <w:szCs w:val="15"/>
          <w:color w:val="auto"/>
        </w:rPr>
      </w:pPr>
      <w:r>
        <w:rPr>
          <w:rFonts w:ascii="Arial" w:cs="Arial" w:eastAsia="Arial" w:hAnsi="Arial"/>
          <w:sz w:val="15"/>
          <w:szCs w:val="15"/>
          <w:color w:val="auto"/>
        </w:rPr>
        <w:t>Loan may result in adverse publicity and damage to reputation, and a review or audit by the SBA or other government entity or claims under the False Claims Act could consume significant financial and management resources. Any of these events could have a material adverse effect on our business, results of operations and financial condition.</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33" w:right="319" w:bottom="1440" w:gutter="0" w:footer="0" w:header="0"/>
        </w:sectPr>
      </w:pPr>
    </w:p>
    <w:bookmarkStart w:id="42" w:name="page43"/>
    <w:bookmarkEnd w:id="42"/>
    <w:p>
      <w:pPr>
        <w:jc w:val="both"/>
        <w:spacing w:after="0" w:line="262" w:lineRule="auto"/>
        <w:rPr>
          <w:sz w:val="20"/>
          <w:szCs w:val="20"/>
          <w:color w:val="auto"/>
        </w:rPr>
      </w:pPr>
      <w:r>
        <w:rPr>
          <w:rFonts w:ascii="Arial" w:cs="Arial" w:eastAsia="Arial" w:hAnsi="Arial"/>
          <w:sz w:val="16"/>
          <w:szCs w:val="16"/>
          <w:b w:val="1"/>
          <w:bCs w:val="1"/>
          <w:i w:val="1"/>
          <w:iCs w:val="1"/>
          <w:color w:val="auto"/>
        </w:rPr>
        <w:t>Our business has been, and may in the future be, adversely affected by the effects of health epidemics, including the recent COVID-19 pandemic, in regions where we or third parties on which we rely have clinical trial sites or other business operations In addition, if COVID-19 continues to be a worldwide pandemic, it could materially affect our operations.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has been, and may continue to be, adversely affected by health epidemics, including the COVID-19 pandemic, in regions where we have significant manufacturing facilities, concentrations of clinical trial sites, or other business operations.</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As a result of the COVID-19 outbreak, we have implemented limitations on our operations, including a work-from-home policy, and could face further limitations in our operations in the future. There is a risk that countries or regions may be less effective at containing COVID-19 than others, or it may be more difficult to contain if the outbreak reaches a larger population or broader geography, in which case the risks described herein could be elevated significantly.</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particular, our future clinical trials may be affected by the COVID-19 outbreak or other future health epidemics. Site initiation, patient enrollment, distribution of drug product candidates, study monitoring, and data collection may be delayed due to changes in hospital policies, local regulations, and/or prioritization of hospital resources toward the COVID-19 outbreak or other future health epidemics. If COVID-19 continues to spread or there are similar health epidemics in the future, some patients and clinical investigators may not be able to comply with clinical trial protocols. For example, quarantines may impede patient movement, affect sponsor access to study sites, or interrupt healthcare services, and we may be required to delay patient enrollment or unable to obtain patient data as a result.</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addition, third party manufacturing of our product and product candidates and suppliers of the materials used in the production of our product candidates may be impacted by restrictions resulting from the COVID-19 outbreak or other future health epidemics which may disrupt our supply chain or limit our ability to manufacture drug product candidates for our clinical trials.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ultimate impact of the COVID-19 outbreak or a similar future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history may make it difficult for you to evaluate the success of our business to date and to assess our future viability.</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We commenced active operations in 2006, and our operations to date have been largely focused on raising capital, identifying potential product candidates, broadening our expertise in the development of our prodrugs, undertaking preclinical studies and conducting clinical trials. To date, we have only two products approved by the FDA, AZSTARYS, a once-daily product for the treatment of ADHD in patients age six years and older, and APADAZ for the short-term (no more than 14 days) management of acute pain severe enough to require an opioid analgesic and for which alternative treatments are inadequate. We have not yet demonstrated an ability to manufacture a prodrug on a commercial scale, or arrange for a third party to do so, or conduct sales and marketing activities necessary for successful commercialization. Further, we cannot guarantee that that Commave will be able to successfully commercialize AZSTARYS or any of our other product candidates subject to the KP415 License Agreement, if approved, that KVK will be able to successfully commercialize APADAZ, or that we will ever receive any payments under the KP415 License Agreement or the APADAZ License Agreement from commercial sales of AZSTARYS, APADAZ, or any of our other product candidates, if approved. Consequently, any predictions you make about our future success or viability may not be as accurate as they could be if we had a longer operating history.</w:t>
      </w:r>
    </w:p>
    <w:p>
      <w:pPr>
        <w:spacing w:after="0" w:line="159"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We may encounter unforeseen expenses, difficulties, complications, delays and other known or unknown factors in achieving our business objectives. We will need to transition at some point from a company with a research and development focus to a company capable of supporting commercial activities. We may not be successful in such a transition.</w:t>
      </w:r>
    </w:p>
    <w:p>
      <w:pPr>
        <w:spacing w:after="0" w:line="10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Anti-Kickback Statute.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44" w:name="page45"/>
    <w:bookmarkEnd w:id="44"/>
    <w:p>
      <w:pPr>
        <w:jc w:val="both"/>
        <w:spacing w:after="0" w:line="306" w:lineRule="auto"/>
        <w:rPr>
          <w:sz w:val="20"/>
          <w:szCs w:val="20"/>
          <w:color w:val="auto"/>
        </w:rPr>
      </w:pPr>
      <w:r>
        <w:rPr>
          <w:rFonts w:ascii="Arial" w:cs="Arial" w:eastAsia="Arial" w:hAnsi="Arial"/>
          <w:sz w:val="14"/>
          <w:szCs w:val="14"/>
          <w:b w:val="1"/>
          <w:bCs w:val="1"/>
          <w:i w:val="1"/>
          <w:iCs w:val="1"/>
          <w:color w:val="auto"/>
        </w:rPr>
        <w:t>We contract with third parties for the manufacture of our partnered product and product candidates that utilize benzhydrocodone and SDX as the API used in our clinical trials and with a sole source supplier for the manufacture of bulk quantities of benzhydrocodone and SDX used in the partnered product and product candidates that utilize these moieties as the API and we expect to continue to do so. This reliance on third-party manufacturers increases the risk that we will not have sufficient quantities of benzhydrocodone and SDX, or such quantities at an acceptable cost, which could delay, prevent or impair our development or commercialization efforts.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have any manufacturing facilities. We procure the bulk drug substances for AZSTARYS, KP484, APADAZ and KP879 from sole-source, third-party manufacturers and the partnered product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AZSTARYS, APADAZ, or any of our other product candidates should they receive marketing approval. This reliance on third parties increases the risk that we will not have sufficient quantities of benzhydrocodone, SDX, other bulk drug substances or our partnered product or product candidates, or such quantities at an acceptable cost or quality, which could delay, prevent or impair our ability to timely conduct our clinical trials or our other development or commercialization efforts.</w:t>
      </w:r>
    </w:p>
    <w:p>
      <w:pPr>
        <w:spacing w:after="0" w:line="17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29" w:lineRule="exact"/>
        <w:rPr>
          <w:sz w:val="20"/>
          <w:szCs w:val="20"/>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reliance on the third party for FDA and DEA regulatory compliance and quality assurance;</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disruption and costs associated with changing suppliers, including additional regulatory filings;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possible breach, termination or nonrenewal of the agreement by the third party at a time that is costly or inconvenient for us;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delay or inability to procure or expand sufficient manufacturing capacity;</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and product quality issues related to scale-up of manufacturing;</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costs and validation of new equipment and facilities required for scale-up;</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to negotiate manufacturing agreements with third parties under commercially reasonable terms;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222" w:lineRule="exact"/>
        <w:rPr>
          <w:rFonts w:ascii="Arial" w:cs="Arial" w:eastAsia="Arial" w:hAnsi="Arial"/>
          <w:sz w:val="16"/>
          <w:szCs w:val="16"/>
          <w:color w:val="auto"/>
        </w:rPr>
      </w:pPr>
    </w:p>
    <w:p>
      <w:pPr>
        <w:ind w:left="440" w:right="20" w:hanging="217"/>
        <w:spacing w:after="0" w:line="349"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05" w:lineRule="exact"/>
        <w:rPr>
          <w:rFonts w:ascii="Arial" w:cs="Arial" w:eastAsia="Arial" w:hAnsi="Arial"/>
          <w:sz w:val="14"/>
          <w:szCs w:val="14"/>
          <w:color w:val="auto"/>
        </w:rPr>
      </w:pPr>
    </w:p>
    <w:p>
      <w:pPr>
        <w:ind w:left="440" w:hanging="217"/>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carrier disruptions or increased costs that are beyond our control.</w:t>
      </w:r>
    </w:p>
    <w:p>
      <w:pPr>
        <w:spacing w:after="0" w:line="22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Any of these events could lead to clinical trial delays, failure to obtain regulatory approval or impact our ability to successfully commercialize our products. Some of these events could be the basis for FDA action, including injunction, recall, seizure or total or partial suspension of production.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5" w:name="page46"/>
    <w:bookmarkEnd w:id="45"/>
    <w:p>
      <w:pPr>
        <w:jc w:val="both"/>
        <w:spacing w:after="0" w:line="349" w:lineRule="auto"/>
        <w:rPr>
          <w:sz w:val="20"/>
          <w:szCs w:val="20"/>
          <w:color w:val="auto"/>
        </w:rPr>
      </w:pPr>
      <w:r>
        <w:rPr>
          <w:rFonts w:ascii="Arial" w:cs="Arial" w:eastAsia="Arial" w:hAnsi="Arial"/>
          <w:sz w:val="14"/>
          <w:szCs w:val="14"/>
          <w:b w:val="1"/>
          <w:bCs w:val="1"/>
          <w:i w:val="1"/>
          <w:iCs w:val="1"/>
          <w:color w:val="auto"/>
        </w:rPr>
        <w:t>The facilities used by our contract manufacturers to manufacture AZSTARYS, APADAZ, and any of our other product candidates must be approved by the FDA pursuant to inspections that will be conducted after we submit our marketing application to the FDA, and these facilities could fail to obtain FDA approval.</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do not, other than through our contractual arrangements, control the manufacturing process of AZSTARYS, APADAZ,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AZSTARYS, APADAZ or any of our other product candidates or if it withdraws any such approval in the future, we may need to find alternative manufacturing facilities, which would significantly impact our ability to develop, obtain marketing approval for or market AZSTARYS, APADAZ, or any of our other product candidates, if approved.</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Further, for AZSTARYS, APADAZ and any of our other product candidates, if approved, our suppliers will be subject to regulatory requirements, covering manufacturing, testing, quality control and record keeping relating to AZSTARYS, APADAZ or any of our other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AZSTARYS, KP484 or KP879 bulk drug substance. If our current contract manufacturer for AZSTARYS, KP484 or KP879 bulk drug substance cannot perform as agreed, we may be required to replace such manufacturer and we may incur added costs and delays in identifying and qualifying any such replacement.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6" w:name="page47"/>
    <w:bookmarkEnd w:id="46"/>
    <w:p>
      <w:pPr>
        <w:jc w:val="both"/>
        <w:spacing w:after="0" w:line="258" w:lineRule="auto"/>
        <w:rPr>
          <w:sz w:val="20"/>
          <w:szCs w:val="20"/>
          <w:color w:val="auto"/>
        </w:rPr>
      </w:pPr>
      <w:r>
        <w:rPr>
          <w:rFonts w:ascii="Arial" w:cs="Arial" w:eastAsia="Arial" w:hAnsi="Arial"/>
          <w:sz w:val="16"/>
          <w:szCs w:val="16"/>
          <w:b w:val="1"/>
          <w:bCs w:val="1"/>
          <w:i w:val="1"/>
          <w:iCs w:val="1"/>
          <w:color w:val="auto"/>
        </w:rPr>
        <w:t>We have entered into collaborations with Commave, to develop, manufacture and commercialize AZSTARYS and KP484 worldwide, and KVK, for the commercialization of APADAZ in the United States. In addition, we may seek collaborations with third parties for the development or commercialization of our other product candidates, or in other territories. If those collaborations are not successful, we may not be able to capitalize on the market potential of AZSTARYS, APADAZ, or any of our other product candidates, if approved.</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entered into the KP415 License Agreement with Commave pursuant to which we granted an exclusive, worldwide license to Commave to develop, manufacture and commercialize AZSTARYS and KP484. We cannot guarantee that the K415 License Agreement with Commave will be successful or that we will receive any future payments under the KP415 License Agreement. For instance, Commave has the option to terminate the KP415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KP415 License Agreement, we cannot guarantee that we will receive any additional milestone or royalty payments under the KP415 License Agreement. In addition, under the KP415 License Agreement, we have limited control over the amount and timing of resources that Commave will dedicate to the development, manufacturing or commercialization of AZSTARYS and KP484, and we may not always agree with Commave’s efforts. Our ability to generate revenue under the KP415 License Agreement will depend, in part, on Commave’s ability to successfully perform the functions assigned to it under the KP415 License Agreement.</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we have entered into the APADAZ License Agreement with KVK pursuant to which we granted an exclusive license to KVK to commercialize APADAZ in the United States. We cannot guarantee that our collaboration with KVK will be successful or that we will ever receive any payments under the APADAZ License Agreement. For instance, if the Initial Adoption Milestone is not achieved, KVK may terminate the APADAZ License Agreement without making any payments to us. Further, even if the Initial Adoption Milestone under the APADAZ License Agreement is achieved, we cannot guarantee that we will receive any additional milestone or royalty payments under the APADAZ License Agreement. Further, under the APADAZ License Agreement, we have limited control over the amount and timing of resources that KVK will dedicate to the commercialization of APADAZ, and we may not always agree with KVK’s commercialization efforts. Our ability to generate revenue under the APADAZ License Agreement will depend on KVK’s ability to successfully perform the functions assigned to it under the APADAZ License Agreement. The commercialization strategy under the APADAZ License Agreement is novel and untested, and, even if successful we expect that the pricing for any sales of APADAZ will be at or near the prices of currently available generic equivalent drugs. As a result, even if KVK does successfully perform its functions under the APADAZ License Agreement, we cannot guarantee that there will be sufficient market demand for APADAZ for us to receive any revenue under the APADAZ License Agreement.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may also seek additional third-party collaborators for the commercialization of APADAZ outside of the United States or for the development or commercialization of any of our other product candidates, which are not subject to the KP415 License Agreement, or those that are subject to the KP415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AZSTARYS or APADAZ outside of the United States or any of our other product candidates. Our ability to generate revenue from these arrangements will depend on our collaborators’ abilities to successfully perform the functions assigned to them in these arrangements.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Our collaborations with Commave and KVK, or combined the Collaborators, pose the following risks to us:</w:t>
      </w:r>
    </w:p>
    <w:p>
      <w:pPr>
        <w:spacing w:after="0" w:line="198" w:lineRule="exact"/>
        <w:rPr>
          <w:sz w:val="20"/>
          <w:szCs w:val="20"/>
          <w:color w:val="auto"/>
        </w:rPr>
      </w:pPr>
    </w:p>
    <w:p>
      <w:pPr>
        <w:ind w:left="440" w:hanging="217"/>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Collaborators have significant discretion in determining the efforts and resources that they will apply to these collaborations;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Collaborators may not perform their obligations as expected;</w:t>
      </w:r>
    </w:p>
    <w:p>
      <w:pPr>
        <w:spacing w:after="0" w:line="222" w:lineRule="exact"/>
        <w:rPr>
          <w:rFonts w:ascii="Arial" w:cs="Arial" w:eastAsia="Arial" w:hAnsi="Arial"/>
          <w:sz w:val="16"/>
          <w:szCs w:val="16"/>
          <w:color w:val="auto"/>
        </w:rPr>
      </w:pPr>
    </w:p>
    <w:p>
      <w:pPr>
        <w:jc w:val="both"/>
        <w:ind w:left="440" w:right="20" w:hanging="217"/>
        <w:spacing w:after="0" w:line="262"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Collaborators may not pursue commercialization of AZSTARYS, APADAZ, or any of our other product candidates covered under the KP415 License Agreement, if approved, or may elect not to continue or renew commercialization programs based on post-approval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6"/>
          <w:szCs w:val="16"/>
          <w:color w:val="auto"/>
        </w:rPr>
      </w:pPr>
    </w:p>
    <w:p>
      <w:pPr>
        <w:jc w:val="both"/>
        <w:ind w:left="440" w:hanging="217"/>
        <w:spacing w:after="0" w:line="262"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Collaborators could independently develop, or develop with third parties, products that compete directly or indirectly with AZSTARYS, APADAZ, or any of our other products covered under the KP415 License Agreement, as applicable,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6"/>
          <w:szCs w:val="16"/>
          <w:color w:val="auto"/>
        </w:rPr>
      </w:pPr>
    </w:p>
    <w:p>
      <w:pPr>
        <w:jc w:val="both"/>
        <w:ind w:left="440" w:hanging="217"/>
        <w:spacing w:after="0" w:line="262"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AZSTARYS, APADAZ, and any of our other products covered under the KP415 License Agreement may be viewed by the Collaborators as competitive with their own product candidates or products, which may cause the Collaborators to cease to devote resources to the commercialization of AZSTARYS, APADAZ, or any of our other products covered under the KP415 License Agreement, if approved;</w:t>
      </w:r>
    </w:p>
    <w:p>
      <w:pPr>
        <w:spacing w:after="0" w:line="162"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Collaborators may not commit sufficient resources to the development, marketing and distribution of AZSTARYS, APADAZ, and any of our other products covered under the KP415 License Agreement, as applicable;</w:t>
      </w:r>
    </w:p>
    <w:p>
      <w:pPr>
        <w:spacing w:after="0" w:line="152" w:lineRule="exact"/>
        <w:rPr>
          <w:sz w:val="20"/>
          <w:szCs w:val="20"/>
          <w:color w:val="auto"/>
        </w:rPr>
      </w:pPr>
    </w:p>
    <w:p>
      <w:pPr>
        <w:jc w:val="both"/>
        <w:ind w:left="440" w:right="20" w:hanging="219"/>
        <w:spacing w:after="0" w:line="280" w:lineRule="auto"/>
        <w:tabs>
          <w:tab w:leader="none" w:pos="420" w:val="left"/>
        </w:tabs>
        <w:rPr>
          <w:sz w:val="20"/>
          <w:szCs w:val="20"/>
          <w:color w:val="auto"/>
        </w:rPr>
      </w:pPr>
      <w:r>
        <w:rPr>
          <w:rFonts w:ascii="Arial" w:cs="Arial" w:eastAsia="Arial" w:hAnsi="Arial"/>
          <w:sz w:val="15"/>
          <w:szCs w:val="15"/>
          <w:color w:val="auto"/>
        </w:rPr>
        <w:t>●</w:t>
        <w:tab/>
        <w:t>disagreements with the Collaborators, including disagreements over proprietary rights, contract interpretation or the preferred course of development or commercialization, might cause delays or termination of the development or commercialization of AZSTARYS, APADAZ, or any of our other products covered under the KP415 License Agreement, as applicable, might lead to additional responsibilities for us with respect to AZSTARYS, APADAZ, or any of our other products covered under the KP415 License Agreement, or might result in litigation or arbitration, any of which would be time-consuming and expensive;</w:t>
      </w:r>
    </w:p>
    <w:p>
      <w:pPr>
        <w:spacing w:after="0" w:line="151" w:lineRule="exact"/>
        <w:rPr>
          <w:sz w:val="20"/>
          <w:szCs w:val="20"/>
          <w:color w:val="auto"/>
        </w:rPr>
      </w:pPr>
    </w:p>
    <w:p>
      <w:pPr>
        <w:ind w:left="440" w:right="20" w:hanging="217"/>
        <w:spacing w:after="0" w:line="275"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Collaborators may infringe the intellectual property rights of third parties, which may expose us to litigation and potential liability; and</w:t>
      </w:r>
    </w:p>
    <w:p>
      <w:pPr>
        <w:spacing w:after="0" w:line="222" w:lineRule="exact"/>
        <w:rPr>
          <w:rFonts w:ascii="Arial" w:cs="Arial" w:eastAsia="Arial" w:hAnsi="Arial"/>
          <w:sz w:val="16"/>
          <w:szCs w:val="16"/>
          <w:color w:val="auto"/>
        </w:rPr>
      </w:pPr>
    </w:p>
    <w:p>
      <w:pPr>
        <w:ind w:left="440" w:right="20" w:hanging="217"/>
        <w:spacing w:after="0" w:line="309"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license agreements may be terminated by the Collaborators under specified circumstances and, if terminated, we could be required to raise additional capital to pursue further development or commercialization of AZSTARYS, APADAZ, or any of our other products covered under the KP415 License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If we enter into any future collaborations we will face similar risks with any future collaborators as well.</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KP415 License Agreement, the APADAZ License Agreement, and any other licensing or collaboration agreements we may enter into may not lead to commercialization of AZSTARYS, commercialization of APADAZ, or development of KP484, KP879 or any of our other product candidates in the most efficient manner or at all. If Commave or KVK or a future collaborator of ours were to be involved in a business combination, the continued pursuit and emphasis on our drug development or commercialization program could be delayed, diminished or terminated.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If we are not able to establish collaborations for our product candidates, we may have to alter our development and commercialization plans.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prodrug development programs and the potential commercialization of our product candidates, if approved, will require substantial additional capital. For our product candidates, which are not subject to the terms of the KP415 License Agreement or the APADAZ License Agreement, we may need to collaborate with pharmaceutical and biotechnology companies for the development and potential commercialization of those product candidates.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agreements with Aquestive and Commave may inhibit our ability to enter into future collaborations with third parties.</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are party to a termination agreement with Aquestive Therapeutics, or Aquestive, that may limit the value of any sale, license or commercialization of AZSTARYS, KP484 or KP879. Under this termination agreement, Aquestive has the right to receive a royalty amount equal to 10% of any value generated by AZSTARYS, KP484 or KP879, and any product candidates which contain SDX, including royalty payments on any license of AZSTARYS, KP484 or KP879, the sale of AZSTARYS, KP484 or KP879 to a third party or the commercialization of AZSTARYS, KP484 or KP879. As part of the KP415 License Agreement, we paid Aquestive a royalty equal to 10% of the license upfront payment we received in the third quarter of 2019 and the regulatory milestone payment we received in the second quarter of 2020.</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 We cannot predict if these obligations will limit the value we may receive from any future sale or license of any Additional Product Candidate.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b w:val="1"/>
          <w:bCs w:val="1"/>
          <w:i w:val="1"/>
          <w:iCs w:val="1"/>
          <w:color w:val="auto"/>
        </w:rPr>
        <w:t>If we are unable to obtain and maintain trade secret protection or patent protection for our technology, AZSTARYS, APADAZ, or our other product candidates, or if the scope of the patent protection obtained is not sufficiently broad, our competitors could develop and commercialize technology and drugs similar or identical to ours, and our ability to successfully commercialize our technology, AZSTARYS, APADAZ, or our other product candidates, if approved, may be impaired.</w:t>
      </w:r>
    </w:p>
    <w:p>
      <w:pPr>
        <w:spacing w:after="0" w:line="12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success depends in large part on our ability to obtain and maintain trade secret protection of our proprietary LAT technology as well as patent protection in the United States and other countries with respect to AZSTARYS, APADAZ, and any of our other product candidates. We seek to protect our proprietary position by filing patent applications in the United States and abroad related to our product technology and product candidates. As part of the KP415 License Agreement, Commave, obtained from us an exclusive, worldwide license to certain patents that cover AZSTARYS and KP484. In addition, as part of the APADAZ License Agreement, KVK obtained from us an exclusive license to certain patents that cover APADAZ.</w:t>
      </w:r>
    </w:p>
    <w:p>
      <w:pPr>
        <w:spacing w:after="0" w:line="170"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27"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Our patent position is subject to numerous additional risks, including the following:</w:t>
      </w:r>
    </w:p>
    <w:p>
      <w:pPr>
        <w:spacing w:after="0" w:line="198" w:lineRule="exact"/>
        <w:rPr>
          <w:sz w:val="20"/>
          <w:szCs w:val="20"/>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fail to seek patent protection for inventions that are important to our success;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pending patent applications may not result in issued patents;</w:t>
      </w:r>
    </w:p>
    <w:p>
      <w:pPr>
        <w:spacing w:after="0" w:line="222"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required to disclaim part or all of the term of certain patents or all of the term of certain patent applications;</w:t>
      </w:r>
    </w:p>
    <w:p>
      <w:pPr>
        <w:spacing w:after="0" w:line="222"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not be able to acquire patent term extensions of certain patents, domestic or foreign, due to regulatory delays, among others, which may affect the term of enforceability of such patents over time;</w:t>
      </w:r>
    </w:p>
    <w:p>
      <w:pPr>
        <w:spacing w:after="0" w:line="151" w:lineRule="exact"/>
        <w:rPr>
          <w:rFonts w:ascii="Arial" w:cs="Arial" w:eastAsia="Arial" w:hAnsi="Arial"/>
          <w:sz w:val="16"/>
          <w:szCs w:val="16"/>
          <w:color w:val="auto"/>
        </w:rPr>
      </w:pPr>
    </w:p>
    <w:p>
      <w:pPr>
        <w:ind w:left="440" w:right="20" w:hanging="217"/>
        <w:spacing w:after="0" w:line="309" w:lineRule="auto"/>
        <w:tabs>
          <w:tab w:leader="none" w:pos="4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29" w:lineRule="exact"/>
        <w:rPr>
          <w:rFonts w:ascii="Arial" w:cs="Arial" w:eastAsia="Arial" w:hAnsi="Arial"/>
          <w:sz w:val="15"/>
          <w:szCs w:val="15"/>
          <w:color w:val="auto"/>
        </w:rPr>
      </w:pPr>
    </w:p>
    <w:p>
      <w:pPr>
        <w:ind w:left="440" w:right="2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competitors may be able to design around our owned or licensed patents by developing similar or alternative technologies or drugs without infringing on our intellectual property rights;</w:t>
      </w:r>
    </w:p>
    <w:p>
      <w:pPr>
        <w:spacing w:after="0" w:line="151" w:lineRule="exact"/>
        <w:rPr>
          <w:rFonts w:ascii="Arial" w:cs="Arial" w:eastAsia="Arial" w:hAnsi="Arial"/>
          <w:sz w:val="16"/>
          <w:szCs w:val="16"/>
          <w:color w:val="auto"/>
        </w:rPr>
      </w:pPr>
    </w:p>
    <w:p>
      <w:pPr>
        <w:jc w:val="both"/>
        <w:ind w:left="440" w:hanging="217"/>
        <w:spacing w:after="0" w:line="262"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62" w:lineRule="exact"/>
        <w:rPr>
          <w:rFonts w:ascii="Arial" w:cs="Arial" w:eastAsia="Arial" w:hAnsi="Arial"/>
          <w:sz w:val="16"/>
          <w:szCs w:val="16"/>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claims of our issued patents or patent applications when issued may not cover our product candidates;</w:t>
      </w:r>
    </w:p>
    <w:p>
      <w:pPr>
        <w:spacing w:after="0" w:line="222" w:lineRule="exact"/>
        <w:rPr>
          <w:rFonts w:ascii="Arial" w:cs="Arial" w:eastAsia="Arial" w:hAnsi="Arial"/>
          <w:sz w:val="16"/>
          <w:szCs w:val="16"/>
          <w:color w:val="auto"/>
        </w:rPr>
      </w:pPr>
    </w:p>
    <w:p>
      <w:pPr>
        <w:jc w:val="both"/>
        <w:ind w:left="440" w:right="20" w:hanging="217"/>
        <w:spacing w:after="0" w:line="258"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assurance can be given that our patents would be declared by a court, domestic or foreign, to be valid or enforceable or that a competitor’s technology or product would be found by a court,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64" w:lineRule="exact"/>
        <w:rPr>
          <w:rFonts w:ascii="Arial" w:cs="Arial" w:eastAsia="Arial" w:hAnsi="Arial"/>
          <w:sz w:val="16"/>
          <w:szCs w:val="16"/>
          <w:color w:val="auto"/>
        </w:rPr>
      </w:pPr>
    </w:p>
    <w:p>
      <w:pPr>
        <w:ind w:left="440" w:right="20" w:hanging="217"/>
        <w:spacing w:after="0" w:line="349" w:lineRule="auto"/>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05" w:lineRule="exact"/>
        <w:rPr>
          <w:rFonts w:ascii="Arial" w:cs="Arial" w:eastAsia="Arial" w:hAnsi="Arial"/>
          <w:sz w:val="14"/>
          <w:szCs w:val="14"/>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third parties may develop products that have the same or similar effect as our products without infringing our patents;</w:t>
      </w:r>
    </w:p>
    <w:p>
      <w:pPr>
        <w:spacing w:after="0" w:line="222"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third parties may intentionally circumvent our patents by means of alternate designs or processes or file applications or be granted patents that would block or hurt our efforts;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may be dominating or intervening patents relevant to our product candidates of which we are not aware;</w:t>
      </w:r>
    </w:p>
    <w:p>
      <w:pPr>
        <w:spacing w:after="0" w:line="222"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1" w:name="page52"/>
    <w:bookmarkEnd w:id="51"/>
    <w:p>
      <w:pPr>
        <w:jc w:val="both"/>
        <w:ind w:right="20"/>
        <w:spacing w:after="0" w:line="275"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Further, a third party may misappropriate or reverse engineer our proprietary LAT technology, which could limit our ability to stop others from using or commercializing similar or identical technology and resultant product candidates, product technology or prodrugs, or limit the duration of the trade secret protection of our proprietary LAT technology.</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i w:val="1"/>
          <w:iCs w:val="1"/>
          <w:color w:val="auto"/>
        </w:rPr>
        <w:t>We may become involved in lawsuits to protect or enforce our patents or other intellectual property, which could be expensive, time consuming and unsuccessful.</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those parties to assert counterclaims against us alleging that we infringe their intellectual property rights.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or its prior use by a third party. An adverse result in any litigation proceeding could put one or more of our patents at risk of being invalidated or interpreted narrowly, which would undermine our competitive position.</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i w:val="1"/>
          <w:iCs w:val="1"/>
          <w:color w:val="auto"/>
        </w:rPr>
        <w:t>We may need to license intellectual property from third parties, and such licenses may not be available or may not be available on commercially reasonable terms.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reduce the scope of our intellectual property due to third-party intellectual property claims.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 xml:space="preserve">Furthermore, recent changes in U.S. patent law under the Leahy-Smith Act allows for post-issuance challenges to U.S. patents, including ex parte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or nullify proceedings that can result in changes in scope or cancellation of patent claims.</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Pharmaceuticals, LLC, or Shire. We may also in the future be subject to claims that we have caused an employee to breach the terms of his or her non-competition or non-solicitation agreement. Litigation may be necessary to defend against these potential claims.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Any trademarks we may obtain may be infringed or successfully challenged, resulting in harm to our business.</w:t>
      </w:r>
    </w:p>
    <w:p>
      <w:pPr>
        <w:spacing w:after="0" w:line="198"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We expect to rely on trademarks as one means to distinguish our product candidates that are approved for marketing from the products of our competitors. We have registered trademarks for LAT and KemPharm. In addition, we have solicited and applied for trademarks for the KemPharm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Outside of the U.S. we cannot be certain that any country’s patent or trademark office will not implement new rules that could seriously affect how we draft, file, prosecute and maintain patents, trademarks and patent and trademark applications.</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inventions to save costs. We may be forced to abandon or return the rights to specific patents due to a lack of financial resources.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Risks Related to the Commercialization of Our Partnered Products and Product Candidates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for our product candidates, if approved, we may not be successful in commercializing any approved product candidate in the United States.</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only a limited sales and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While we entered into the KP415 License Agreement to establish a collaboration for the commercialization of AZSTARYS and any of our other product candidates which are subject to such agreement, and we entered into the APADAZ License Agreement to establish a collaboration for the commercialization of APADAZ, we may not choose to enter into a collaboration for any future approved product.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Factors that may inhibit our efforts to commercialize our product candidates on our own include:</w:t>
      </w:r>
    </w:p>
    <w:p>
      <w:pPr>
        <w:spacing w:after="0" w:line="198" w:lineRule="exact"/>
        <w:rPr>
          <w:sz w:val="20"/>
          <w:szCs w:val="20"/>
          <w:color w:val="auto"/>
        </w:rPr>
      </w:pPr>
    </w:p>
    <w:p>
      <w:pPr>
        <w:ind w:left="440" w:hanging="217"/>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inability to recruit, train and retain adequate numbers of effective sales and marketing personnel;</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inability to access government and commercial health plan formularies or secure preferred coverage and adequate reimbursement levels;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198" w:lineRule="exact"/>
        <w:rPr>
          <w:rFonts w:ascii="Arial" w:cs="Arial" w:eastAsia="Arial" w:hAnsi="Arial"/>
          <w:sz w:val="16"/>
          <w:szCs w:val="16"/>
          <w:color w:val="auto"/>
        </w:rPr>
      </w:pPr>
    </w:p>
    <w:p>
      <w:pPr>
        <w:ind w:left="440" w:right="260" w:hanging="217"/>
        <w:spacing w:after="0" w:line="275"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lack of complementary drugs to be offered by sales personnel, which may put us at a competitive disadvantage relative to companies with more extensive product lines;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liability for personnel, including sales personnel, failing to comply with applicable legal requirements; and</w:t>
      </w:r>
    </w:p>
    <w:p>
      <w:pPr>
        <w:spacing w:after="0" w:line="198"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For instance, under the KP415 License Agreement we are entitled to receive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as well as, sales milestones based on specified sales targets. In addition, we may not be successful in entering into arrangements with third parties to sell, market and distribute our product candidates in the future, or may be unable to do so on terms that are favorable to us. Further, under the APADAZ License Agreement, we and KVK will share the quarterly net profits of APADAZ by KVK in the United States at specified tiered percentages, with the portion we receive ranging from 30% to 50% of net profits. As a result, we will be entitled to a smaller portion of the net profits of any sales of APADAZ in the United States than if we had decided to sell, market and distribute APADAZ ourselves. We likely will have little control over such third parties, including Commave and KVK, and any of them may fail to devote the necessary resources and attention to sell and market AZSTARYS, APADAZ, or any of our other product candidates, if approved, effectively. Further, we may be liable for conduct of third parties, including Commave and KVK,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AZSTARYS, APADAZ, or any of our other product candidates, if approved.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56" w:name="page57"/>
    <w:bookmarkEnd w:id="56"/>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AZSTARYS, APADAZ, or any of our other product candidates that may receive marketing approval, may fail to achieve the degree of market acceptance by physicians, patients, third-party payors and others in the medical community necessary for commercial success.</w:t>
      </w:r>
    </w:p>
    <w:p>
      <w:pPr>
        <w:spacing w:after="0" w:line="152"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AZSTARYS, APADAZ, or any of our other product candidates that may receive marketing approval, may fail to gain sufficient market acceptance by physicians, patients, third-party payors and others in the medical community. Despite the fact that APADAZ is now nationally available, we cannot guarantee that it will receive significant, if any, market acceptance in the United States. If AZSTARYS, APADAZ, or any of our other product candidates, if approved for commercial sale, do not achieve an adequate level of market acceptance, they may not generate significant product revenue and we may not become profitable. For instance, under the APADAZ License Agreement, we are entitled to milestone and royalty payments only if APADAZ sales in the United States are above specified levels. If APADAZ does not achieve an adequate level of market acceptance, it is unlikely that sales will satisfy these thresholds and we may not be entitled to any payments under the APADAZ License Agreement. Additionally, the commercialization strategy under the APADAZ License Agreement is novel and untested, and, even if successful we expect that the pricing for any sales of APADAZ will be at or near the prices of currently available generic equivalent drugs. Accordingly, we expect that APADAZ will need to achieve broad market acceptance in order for this strategy to be successful. The degree of market acceptance of AZSTARYS, APADAZ, or any of our other product candidates if approved for commercial sale, will depend on a number of factors, including:</w:t>
      </w:r>
    </w:p>
    <w:p>
      <w:pPr>
        <w:spacing w:after="0" w:line="163" w:lineRule="exact"/>
        <w:rPr>
          <w:sz w:val="20"/>
          <w:szCs w:val="20"/>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efficacy and potential advantages compared to alternative treatments, including less expensive generic treatments;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to obtain differentiating claims in the labels for most of our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offer our prodrug products for sale at competitive prices;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clinical indications for which our product candidates are approved;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convenience and ease of administration compared to alternative treatments;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198"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steps that prescribers and dispensers must take, since AZSTARYS and APADAZ are, and we expect that most of our other product candidates likely going to be considered controlled substances, as well as the perceived risks based upon their controlled substance status;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to manufacture our product in sufficient quantities and yields;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strength of marketing and distribution support;</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third-party coverage and adequate reimbursement or willingness of patients to pay out of pocket in the absence of third-party coverage;</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prevalence and severity of any side effects;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potential unfavorable publicity;</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restrictions on the use, sale or distribution of AZSTARYS, APADAZ, or any of our other product candidates, including through REMS;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restrictions on the use of our prodrug products together with other medications.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1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AZSTARYS, and, if approved, KP484 will compete against currently marketed, branded and generic methylphenidate products for the treatment of ADHD. Some of these currently marketed products include Janssen’s CONCERTA,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Currently, there are no approved drugs in the United States for the treatment of IH. If approved, KP1077 could face competition from any products for the treatment of IH that are currently in or which may enter into clinical development.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APADAZ competes against currently marketed, branded and generic IR hydrocodone/APAP combination products indicated for the short-term management of acute pain. In addition, APADAZ will face potential competition from any IR or hydrocodone/APAP combination products for the short-term management of acute pain that are currently in or may enter into clinical development.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6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Mergers and acquisitions in the pharmaceutical and biotechnology industries may result in even more resources being concentrated among a smaller number of our competitors.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Smaller and other early-stage companies may also prove to be significant competitors, particularly through collaborative arrangements with large and established companies.</w:t>
      </w:r>
    </w:p>
    <w:p>
      <w:pPr>
        <w:spacing w:after="0" w:line="209"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We may not be able to obtain either five-year FDA regulatory exclusivity as a new chemical entity or three-year FDA regulatory exclusivity.</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9" w:name="page60"/>
    <w:bookmarkEnd w:id="59"/>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Even if we or our collaborators are able to commercialize AZSTARYS, APADAZ, or any of our other product candidates, they may be subject to unfavorable pricing regulations, third-party coverage and reimbursement policies.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successful commercialization of AZSTARYS, APADAZ, and any of our other product candidates will depend, in part, on the extent to which coverage and adequate reimbursement for AZSTARYS, APADAZ, or any of our other product candidates,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AZSTARYS, APADAZ, or any of our other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AZSTARYS under the KP415 License Agreement, APADAZ under the APADAZ License Agreement, or commercialize any of our other product candidates for which marketing approval is obtained.</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There can be no assurance that AZSTARYS, APADAZ, or any of our other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AZSTARYS under the KP415 License Agreement , APADAZ under the APADAZ License Agreement, or our ability to sell any of any of our other product candidates profitably if they are approved for sale.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We may be subject to enforcement action if we engage in improper marketing or promotion of our products.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Further, our promotional materials, statements and training methods must comply with the FDA’s prohibition of the promotion of unapproved, or off-label, use.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1" w:name="page62"/>
    <w:bookmarkEnd w:id="61"/>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AZSTARYS, APADAZ, or any of our other product candidates that we may develop.</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as AZSTARYS, APADAZ, and any of our other product candidates that may be approved in the future, are commercialized. This includes the risk that our products may be misused. For example, AZSTARYS does, APADAZ does, and we anticipate that any of our other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70" w:lineRule="exact"/>
        <w:rPr>
          <w:sz w:val="20"/>
          <w:szCs w:val="20"/>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decreased demand for AZSTARYS, APADAZ, and any of our other product candidates that we may develop;</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termination of clinical trial sites or entire trial programs;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initiation of investigations by regulators;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substantial monetary awards paid to trial participants or patients;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recalls, withdrawals or labeling revisions and marketing or promotional restrictions;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reduced resources of our management to pursue our business strategy;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to successfully commercialize AZSTARYS, APADAZ, or any of our other product candidates that might be approved in the future.</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A variety of risks associated with international operations could materially adversely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expect to engage in significant cross-border activities, and we will be subject to risks related to international operations, including:</w:t>
      </w:r>
    </w:p>
    <w:p>
      <w:pPr>
        <w:spacing w:after="0" w:line="198" w:lineRule="exact"/>
        <w:rPr>
          <w:sz w:val="20"/>
          <w:szCs w:val="20"/>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different regulatory requirements for maintaining approval of drugs in foreign countries;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differing payor reimbursement regimes, governmental payors or patient self-pay systems and price controls;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reduced protection for contractual and intellectual property rights in some countries;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98"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North America;</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tighter restrictions on privacy and the collection and use of patient and clinical trial participant data;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business interruptions resulting from geopolitical actions, including war and terrorism, or natural disasters including earthquakes, typhoons, floods and fires.</w:t>
      </w:r>
    </w:p>
    <w:p>
      <w:pPr>
        <w:spacing w:after="0" w:line="210"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80"/>
          </w:cols>
          <w:pgMar w:left="320" w:top="533" w:right="79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Risks Related to Regulatory Approval of Our Product Candidates and Other Legal Compliance Matters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AZSTARYS, APADAZ, and any of our other product candidates from being marketed abroad.</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variety of risks associated with marketing AZSTARYS, APADAZ, and any of our other product candidates internationally, if approved, could affect our business.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seek regulatory approval for AZSTARYS, APADAZ, and any of our other product candidates, if approved, outside of the United States and, accordingly, we expect that we will be subject to additional risks related to operating in foreign countries if we obtain the necessary approvals, including:</w:t>
      </w:r>
    </w:p>
    <w:p>
      <w:pPr>
        <w:spacing w:after="0" w:line="152" w:lineRule="exact"/>
        <w:rPr>
          <w:sz w:val="20"/>
          <w:szCs w:val="20"/>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differing regulatory requirements in foreign countries;</w:t>
      </w:r>
    </w:p>
    <w:p>
      <w:pPr>
        <w:spacing w:after="0" w:line="198"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98"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liability under the Foreign Corrupt Practices Act of 1977 or comparable foreign regulations;</w:t>
      </w:r>
    </w:p>
    <w:p>
      <w:pPr>
        <w:spacing w:after="0" w:line="198"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These and other risks associated with our international operations may compromise our ability to achieve or maintain profitability.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64" w:name="page65"/>
    <w:bookmarkEnd w:id="64"/>
    <w:p>
      <w:pPr>
        <w:jc w:val="both"/>
        <w:spacing w:after="0" w:line="317" w:lineRule="auto"/>
        <w:rPr>
          <w:sz w:val="20"/>
          <w:szCs w:val="20"/>
          <w:color w:val="auto"/>
        </w:rPr>
      </w:pPr>
      <w:r>
        <w:rPr>
          <w:rFonts w:ascii="Arial" w:cs="Arial" w:eastAsia="Arial" w:hAnsi="Arial"/>
          <w:sz w:val="14"/>
          <w:szCs w:val="14"/>
          <w:b w:val="1"/>
          <w:bCs w:val="1"/>
          <w:i w:val="1"/>
          <w:iCs w:val="1"/>
          <w:color w:val="auto"/>
        </w:rPr>
        <w:t>AZSTARYS is, APADAZ is, and any of our other product candidates for which we obtain marketing approval could be, subject to post-marketing restrictions or recall or withdrawal from the market, and we may be subject to penalties if we or our collaborators fail to comply with regulatory requirements or if we or our collaborators experience unanticipated problems with AZSTARYS, APADAZ, or any of our other product candidates when and if any of them are approved.</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AZSTARYS is, APADAZ is, and any of our other product candidates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For example, we are required to conduct pediatric studies related to AZSTARYS to determine its safety and effectiveness for the claimed indication in pediatric patients. Under the KP415 License Agreement, Commave will be responsible for these regulatory activities going forward, and we cannot guarantee they will be complied with. In addition, we are required to conduct pediatric studies related to APADAZ to determine its safety and effectiveness for the claimed indication in pediatric patients. Under the APADAZ License Agreement, KVK will be responsible for these regulatory activities going forward, and we cannot guarantee they will be complied with.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AZSTARYS is, APADAZ is, and if marketing approval of any of our other product candidates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APADAZ is subject to this REMS, and we anticipate that any of our other opioid product candidates that we may choose to develop in the future, if approved by the FDA, are likely to also be subject to a REMS requirement.</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AZSTARYS does, APADAZ does, and if any of our other product candidates receive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we expect that at least some of our product candidates would likely be required to carry boxed warnings, including warnings regarding tampering, lethality if our oral tablets or capsules are prepared for injection and hepatotoxicity.</w:t>
      </w:r>
    </w:p>
    <w:p>
      <w:pPr>
        <w:spacing w:after="0" w:line="15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5" w:name="page66"/>
    <w:bookmarkEnd w:id="65"/>
    <w:p>
      <w:pPr>
        <w:ind w:right="20"/>
        <w:spacing w:after="0" w:line="275" w:lineRule="auto"/>
        <w:rPr>
          <w:sz w:val="20"/>
          <w:szCs w:val="20"/>
          <w:color w:val="auto"/>
        </w:rPr>
      </w:pPr>
      <w:r>
        <w:rPr>
          <w:rFonts w:ascii="Arial" w:cs="Arial" w:eastAsia="Arial" w:hAnsi="Arial"/>
          <w:sz w:val="16"/>
          <w:szCs w:val="16"/>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52" w:lineRule="exact"/>
        <w:rPr>
          <w:sz w:val="20"/>
          <w:szCs w:val="20"/>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adverse inspectional findings;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restrictions on such prodrug products, distribution, manufacturers or manufacturing processes;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restrictions on the labeling or marketing of a drug;</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additional warnings or otherwise restrict the product’s indicated use, label, or marketing;</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issuance of safety alerts, dear-healthcare-provider letters, press releases or other communications containing warnings regarding the product;</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requirement to establish or modify a REMS;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requirement to conduct post-marketing studies or surveillance;</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restrictions on drug distribution or use;</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requirements to conduct post-marketing studies or clinical trials;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recall or withdrawal of the prodrug products from the market;</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submit and other delays;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clinical holds, or the suspension or termination of ongoing clinical trials;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suspension or withdrawal of marketing approvals or other permits or voluntary suspension of marketing;</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prodrug products;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reputational harm;</w:t>
      </w:r>
    </w:p>
    <w:p>
      <w:pPr>
        <w:spacing w:after="0" w:line="246" w:lineRule="exact"/>
        <w:rPr>
          <w:rFonts w:ascii="Arial" w:cs="Arial" w:eastAsia="Arial" w:hAnsi="Arial"/>
          <w:sz w:val="16"/>
          <w:szCs w:val="16"/>
          <w:color w:val="auto"/>
        </w:rPr>
      </w:pPr>
    </w:p>
    <w:p>
      <w:pPr>
        <w:ind w:left="440" w:hanging="217"/>
        <w:spacing w:after="0" w:line="275"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refusal of government contracts or future orders under existing contracts, exclusion from participation in federal health care programs, and corporate integrity agreements;</w:t>
      </w:r>
    </w:p>
    <w:p>
      <w:pPr>
        <w:spacing w:after="0" w:line="175"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seizure or detention; or</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including False Claims Act liability.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6" w:name="page67"/>
    <w:bookmarkEnd w:id="66"/>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7" w:name="page68"/>
    <w:bookmarkEnd w:id="67"/>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our products, as well as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U.S. states and foreign jurisdictions in which we conduct our business. The applicable federal, state and foreign healthcare laws that may affect our ability to operate include the following:</w:t>
      </w:r>
    </w:p>
    <w:p>
      <w:pPr>
        <w:spacing w:after="0" w:line="172" w:lineRule="exact"/>
        <w:rPr>
          <w:sz w:val="20"/>
          <w:szCs w:val="20"/>
          <w:color w:val="auto"/>
        </w:rPr>
      </w:pPr>
    </w:p>
    <w:p>
      <w:pPr>
        <w:jc w:val="both"/>
        <w:ind w:left="440" w:right="20" w:hanging="217"/>
        <w:spacing w:after="0" w:line="258"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w:t>
      </w:r>
    </w:p>
    <w:p>
      <w:pPr>
        <w:spacing w:after="0" w:line="188" w:lineRule="exact"/>
        <w:rPr>
          <w:rFonts w:ascii="Arial" w:cs="Arial" w:eastAsia="Arial" w:hAnsi="Arial"/>
          <w:sz w:val="16"/>
          <w:szCs w:val="16"/>
          <w:color w:val="auto"/>
        </w:rPr>
      </w:pPr>
    </w:p>
    <w:p>
      <w:pPr>
        <w:jc w:val="both"/>
        <w:ind w:left="440" w:hanging="217"/>
        <w:spacing w:after="0" w:line="254"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including the False Claims Act, which impose criminal and civil 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93" w:lineRule="exact"/>
        <w:rPr>
          <w:rFonts w:ascii="Arial" w:cs="Arial" w:eastAsia="Arial" w:hAnsi="Arial"/>
          <w:sz w:val="16"/>
          <w:szCs w:val="16"/>
          <w:color w:val="auto"/>
        </w:rPr>
      </w:pPr>
    </w:p>
    <w:p>
      <w:pPr>
        <w:ind w:left="440" w:right="20" w:hanging="217"/>
        <w:spacing w:after="0" w:line="349"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29" w:lineRule="exact"/>
        <w:rPr>
          <w:rFonts w:ascii="Arial" w:cs="Arial" w:eastAsia="Arial" w:hAnsi="Arial"/>
          <w:sz w:val="14"/>
          <w:szCs w:val="14"/>
          <w:color w:val="auto"/>
        </w:rPr>
      </w:pPr>
    </w:p>
    <w:p>
      <w:pPr>
        <w:jc w:val="both"/>
        <w:ind w:left="440" w:hanging="217"/>
        <w:spacing w:after="0" w:line="254"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3" w:lineRule="exact"/>
        <w:rPr>
          <w:rFonts w:ascii="Arial" w:cs="Arial" w:eastAsia="Arial" w:hAnsi="Arial"/>
          <w:sz w:val="16"/>
          <w:szCs w:val="16"/>
          <w:color w:val="auto"/>
        </w:rPr>
      </w:pPr>
    </w:p>
    <w:p>
      <w:pPr>
        <w:jc w:val="both"/>
        <w:ind w:left="440" w:hanging="217"/>
        <w:spacing w:after="0" w:line="258"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covered subcontractors, with respect to safeguarding the privacy, security and transmission of individually identifiable health information;</w:t>
      </w:r>
    </w:p>
    <w:p>
      <w:pPr>
        <w:spacing w:after="0" w:line="188" w:lineRule="exact"/>
        <w:rPr>
          <w:rFonts w:ascii="Arial" w:cs="Arial" w:eastAsia="Arial" w:hAnsi="Arial"/>
          <w:sz w:val="16"/>
          <w:szCs w:val="16"/>
          <w:color w:val="auto"/>
        </w:rPr>
      </w:pPr>
    </w:p>
    <w:p>
      <w:pPr>
        <w:jc w:val="both"/>
        <w:ind w:left="440" w:hanging="217"/>
        <w:spacing w:after="0" w:line="295"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Open Payments program, created under Section 6002 of the Affordable Care Act, or the ACA, and its implementing regulations, which imposes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and, beginning in 2022, will require applicable manufacturers to report information regarding payments and other transfers of value provided during the previous year to physician assistants, nurse practitioners, clinical nurse specialists, certified nurse anesthetists, anesthesiologist assistants and certified nurse-midwives; and</w:t>
      </w:r>
    </w:p>
    <w:p>
      <w:pPr>
        <w:spacing w:after="0" w:line="168" w:lineRule="exact"/>
        <w:rPr>
          <w:rFonts w:ascii="Arial" w:cs="Arial" w:eastAsia="Arial" w:hAnsi="Arial"/>
          <w:sz w:val="14"/>
          <w:szCs w:val="14"/>
          <w:color w:val="auto"/>
        </w:rPr>
      </w:pPr>
    </w:p>
    <w:p>
      <w:pPr>
        <w:ind w:left="440" w:hanging="217"/>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comparable state and foreign laws, which may be broader in scope than the analogous federal laws and may differ from each other in significant ways.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These laws may affect our sales, marketing, and other promotional activities by imposing administrative and compliance burdens on us.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8" w:name="page69"/>
    <w:bookmarkEnd w:id="68"/>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obtain marketing approval of our product candidates and increase the cost to commercialize AZSTARYS, APADAZ, and any of our product candidates that may be approved in the future and affect the prices thereof.</w:t>
      </w:r>
    </w:p>
    <w:p>
      <w:pPr>
        <w:spacing w:after="0" w:line="12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AZSTARYS under the KP415 License Agreement or APADAZ under the APADAZ License Agreement and our ability to profitably sell any of our other product candidates for which we obtain marketing approval.</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Among the provisions of the ACA of importance to our potential product candidates are the following:</w:t>
      </w:r>
    </w:p>
    <w:p>
      <w:pPr>
        <w:spacing w:after="0" w:line="198" w:lineRule="exact"/>
        <w:rPr>
          <w:sz w:val="20"/>
          <w:szCs w:val="20"/>
          <w:color w:val="auto"/>
        </w:rPr>
      </w:pPr>
    </w:p>
    <w:p>
      <w:pPr>
        <w:ind w:left="560" w:right="20" w:hanging="278"/>
        <w:spacing w:after="0" w:line="275"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75"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drugs and generic drugs, respectively;</w:t>
      </w:r>
    </w:p>
    <w:p>
      <w:pPr>
        <w:spacing w:after="0" w:line="175"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False Claims Act and the federal Anti-Kickback Statute, new government investigative powers and enhanced penalties for non-compliance;</w:t>
      </w:r>
    </w:p>
    <w:p>
      <w:pPr>
        <w:spacing w:after="0" w:line="175"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establishment of a new and distinct methodology by which rebates owed by manufacturers under the Medicaid Drug Rebate Program are calculated for drugs that are inhaled, infused, instilled, implanted or injected;</w:t>
      </w:r>
    </w:p>
    <w:p>
      <w:pPr>
        <w:spacing w:after="0" w:line="175"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86" w:lineRule="exact"/>
        <w:rPr>
          <w:rFonts w:ascii="Arial" w:cs="Arial" w:eastAsia="Arial" w:hAnsi="Arial"/>
          <w:sz w:val="16"/>
          <w:szCs w:val="16"/>
          <w:color w:val="auto"/>
        </w:rPr>
      </w:pPr>
    </w:p>
    <w:p>
      <w:pPr>
        <w:jc w:val="both"/>
        <w:ind w:left="560" w:hanging="278"/>
        <w:spacing w:after="0" w:line="262"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186"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86"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246"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new requirements under the federal Open Payments program and its implementing regulations;</w:t>
      </w:r>
    </w:p>
    <w:p>
      <w:pPr>
        <w:spacing w:after="0" w:line="246"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 and</w:t>
      </w:r>
    </w:p>
    <w:p>
      <w:pPr>
        <w:spacing w:after="0" w:line="246"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69" w:name="page70"/>
    <w:bookmarkEnd w:id="69"/>
    <w:p>
      <w:pPr>
        <w:jc w:val="both"/>
        <w:spacing w:after="0" w:line="289" w:lineRule="auto"/>
        <w:rPr>
          <w:sz w:val="20"/>
          <w:szCs w:val="20"/>
          <w:color w:val="auto"/>
        </w:rPr>
      </w:pPr>
      <w:r>
        <w:rPr>
          <w:rFonts w:ascii="Arial" w:cs="Arial" w:eastAsia="Arial" w:hAnsi="Arial"/>
          <w:sz w:val="14"/>
          <w:szCs w:val="14"/>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which went into effect in April 2013, and, due to subsequent legislative amendments, including the BBA, will stay in effect through 2030 with the exception of a temporary suspension from May 1, 2020 through March 31, 2021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 It is also possible that additional governmental action is taken in response to the COVID-19 pandemic.</w:t>
      </w:r>
    </w:p>
    <w:p>
      <w:pPr>
        <w:spacing w:after="0" w:line="1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57"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affect our revenue, if any.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comply with environmental, health and safety laws and regulations, we could become subject to fines or penalties or incur costs that could harm our business.</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1" w:name="page72"/>
    <w:bookmarkEnd w:id="71"/>
    <w:p>
      <w:pPr>
        <w:jc w:val="both"/>
        <w:spacing w:after="0" w:line="280" w:lineRule="auto"/>
        <w:rPr>
          <w:sz w:val="20"/>
          <w:szCs w:val="20"/>
          <w:color w:val="auto"/>
        </w:rPr>
      </w:pPr>
      <w:r>
        <w:rPr>
          <w:rFonts w:ascii="Arial" w:cs="Arial" w:eastAsia="Arial" w:hAnsi="Arial"/>
          <w:sz w:val="15"/>
          <w:szCs w:val="15"/>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5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Despite the implementation of security measures, our information technology systems and data, and those of our CROs and other third parties on which we rely, are vulnerable to system failure, interruption, compromise or damage from several sources, such as data corruption; breakdown; malicious human acts; malicious code (such as computer viruses or worms); fraudulent activity; employee misconduct, theft or error; denial-of-service attacks; public health epidemics (such as the COVID-19 pandemic); cyber-attacks by sophisticated nation-state and nation-state supported actors; natural disasters; terrorism; war; and telecommunication and electrical failures. Moreover,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If we, our service providers, partners, or other relevant third parties have experienced, or in the future experience, any security incident(s) that result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57"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46"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2" w:name="page73"/>
    <w:bookmarkEnd w:id="72"/>
    <w:p>
      <w:pPr>
        <w:jc w:val="both"/>
        <w:spacing w:after="0" w:line="306" w:lineRule="auto"/>
        <w:rPr>
          <w:sz w:val="20"/>
          <w:szCs w:val="20"/>
          <w:color w:val="auto"/>
        </w:rPr>
      </w:pPr>
      <w:r>
        <w:rPr>
          <w:rFonts w:ascii="Arial" w:cs="Arial" w:eastAsia="Arial" w:hAnsi="Arial"/>
          <w:sz w:val="14"/>
          <w:szCs w:val="14"/>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Regulation of data (including personal data)is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(e.g., laws and regulations that address data privacy and security, including, without limitation, personal data such as health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60"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In the United States, numerous federal and state laws and regulations, including state data breach notification laws, state information privacy laws (e.g., the California Consumer Privacy Act of 2018, or CCPA),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health information from third parties (including research institutions from which we may obtain clinical trial data) that are subject to privacy and security requirements under HIPAA. Depending on the facts and circumstances, we could be subject to civil and criminal penalties, including if we knowingly obtain, use, or disclose individually identifiable health information maintained by a HIPAA-covered entity in a manner that is not authorized or permitted by HIPAA.</w:t>
      </w:r>
    </w:p>
    <w:p>
      <w:pPr>
        <w:spacing w:after="0" w:line="15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CCPA became effective on January 1, 2020. The CCPA gives California residents expanded rights to access and delete their personal information, opt out of certain personal information sharing and receive detailed information about how their personal information is used. The CCPA requires covered entities to provide new disclosures to California residents. The CCPA provides for civil penalties for violations, as well as a private right of action and statutory damages for data breaches that is expected to increase class action data breach litigation. Although there are limited exemptions for clinical trial data,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(“CPRA”) becomes operative. The CPRA will, among other things, give California residents the ability to limit use of certain sensitive information, establish restrictions on the retention of personal information, expand the types of data breaches subject to the CCPA’s private right of action and establish a new California Privacy Protection Agency to implement and enforce the new law. These laws demonstrate our vulnerability to the evolving regulatory environment related to personal data. As we expand our operations, these and similar laws may increase our compliance costs and potential liability.</w:t>
      </w:r>
    </w:p>
    <w:p>
      <w:pPr>
        <w:spacing w:after="0" w:line="143"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Foreign data protection laws, such as, without limitation, the EU’s GDPR and member state data protection laws, may also apply to health-related and other personal information that we process, including, without limitation, personal data relating to clinical trial participants. European data protection laws impose strict obligations on the ability to process health-related and other personal information of data subjects in Europe, including, among other things, standards relating to the privacy and security of personal data, which require the adoption of administrative, physical and technical safeguards designed to protect such information. The United Kingdom’s vote in favor of exiting the EU, often referred to as Brexit, has created uncertainty with regard to data protection regulation in the United Kingdom. Beginning in 2021, the UK will be a “third country” under the GDPR and transfers of European personal information to the U.K. will require an adequacy mechanism to render such transfers compliant under the GDPR. European data protection laws may affect our use, collection, analysis, and transfer (including cross-border transfer) of such personal information. These laws include several requirements relating to transparency related to communications with data subjects regarding the processing of their personal data, obtaining the consent of the individuals to whom the personal data relates, limitations on data processing, establishing a legal basis for processing, notification of data processing obligations or security incidents to appropriate data protection authorities or data subjects, the security and confidentiality of the personal data and various rights that data subjects may exercise.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5"/>
          <w:szCs w:val="15"/>
          <w:color w:val="auto"/>
        </w:rPr>
        <w:t>European data protection laws prohibit the transfer, without an appropriate legal basis, of personal data to countries outside of Europe, such as to the United States, which are not considered by the relevant authorities to provide an adequate level of data protection. A decision by the Court of Justice of the European Union (the “Schrems II” ruling) invalidated the EU-U.S. Privacy Shield Framework, and raised questions about whether the European Commission’s Standard Contractual Clauses (“SCCs”), one of the primary alternatives to the Privacy Shield, can lawfully be used for personal information transfers from Europe to the United States or most other countries. Similarly, the Swiss Federal Data Protection and Information Commissioner recently opined that the Swiss-U.S. Privacy Shield is inadequate for transfers of personal data from Switzerland to the U.S. The United Kingdom, whose data protection laws are similar to those of the European Union, may similarly determine that the EU-U.S. Privacy Shield is not a valid mechanism for lawfully transferring personal data from the United Kingdom to the United States. The European Commission recently proposed updates to the SCCs, and additional regulatory guidance has been released that seeks to impose additional obligations on entities that rely on the SCCs. Given that, at present, there are few, if any, alternatives to the EU-U.S. Privacy Shield and the SCCs, any transfers by us or our vendors of personal data from Europe may not comply with European data protection laws, which may increase our exposure to such laws’ sanctions for violations of its cross-border transfer restrictions and may prohibit our transfer of European personal data outside of Europe, and may adversely impact our operations, product development and ability to provide our products. Additionally, other countries have passed or are considering passing laws requiring local data residency and/or restricting the international transfer of data.</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example, under the GDPR, regulators may impose substantial fines and penalties for non-compliance. Entities that violate the GDPR can face fines of up to the greater of 20 million Euros or 4% of their worldwide annual turnover (revenue). Additionally, regulators could prohibit our use of personal data subject to the GDPR. The GDPR has increased our responsibility and liability in relation to personal data that we process, requiring us to put in place additional mechanisms to comply with the GDPR and other foreign data protection requirements.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Any of these matters could materially adversely affect our business, financial condition, or operational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Risks Related to Employee Matters and Managing Our Growth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executives and to attract, retain and motivate qualified personnel.</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are highly dependent on the management, research and development, clinical, financial and business development expertise of Travis C. Mickle, Ph.D., our president and chief executive officer, R. LaDuane Clifton, CPA, our chief financial officer, and Sven Guenther, Ph.D., our executive vice president research and development,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Risks Related to Ownership of Our Common Stock and Our Status as a Public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19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March 10, 2021.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70" w:lineRule="exact"/>
        <w:rPr>
          <w:sz w:val="20"/>
          <w:szCs w:val="20"/>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variations in our operating results;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financial estimates by us or by any securities analysts who might cover our stock;</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conditions or trends in our industry, including without limitation changes in the structure of healthcare payment systems;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pharmaceutical industry;</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or divestitures;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adverse regulatory announcements or determinations regarding our product candidates;</w:t>
      </w:r>
    </w:p>
    <w:p>
      <w:pPr>
        <w:spacing w:after="0" w:line="222"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capital commitments;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investors’ general perception of us and our business;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recruitment or departure of key personnel; and</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common stock, including sales by our directors and officers or specific stockholders.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Many of the factors described above are not within our control. For instance, in May 2016, we announced that the Anesthetic and Analgesic Drug Products Advisory Committee and the Drug Safety and Risk Management Advisory Committee of the FDA voted 16 to 4 for the approval of APADAZ but voted 18 to 2 against inclusion of abuse-deterrent labeling for APADAZ. The announcement was followed by a substantial decrease in the trading price of our common stock on Nasdaq. Additionally, when we announced in June 2016 that the FDA had issued a CRL for the APADAZ NDA, the trading price of our common stock on Nasdaq was subject to another substantial decrease. We cannot guarantee that future announcements will not have similar effects on the trading price of our common stock.</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In June 2018, the case was dismissed without prejudice to members of the putative class. Future litigation could cause us to incur substantial costs and divert management’s attention and resources from our business. Further, companies listed on The Nasdaq Capital Market, and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A portion of our outstanding warrants are entitled to certain anti-dilution protections which, if triggered, may cause dilution to your investment.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Deerfield Warrant (as defined below) includes exercise price protection provision, pursuant to which the exercise price of the Deerfield Warrant will be adjusted downward on a broad-based weighted-average basis if we issue or sell any shares of common stock, convertible securities, warrants or options at a sale or exercise price per share less than the greater of (i) $93.60 per share, which represents the Deerfield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1933, as amended, or the Securities Act, of our common stock, the exercise price of the Deerfield Warrant will be adjusted downward pursuant to this anti-dilution adjustment only if such sales are made at a price less than $93.60 per share, provided that this anti-dilution adjustment will not apply to certain specified sales. For example, in January 2021, we entered into the Inducement Letters with certain holders of the Existing Warrants, pursuant to which such holders exercised for cash their Existing Warrants to purchase 6,620,358 shares of our common stock in exchange the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Inducement Warrants was $0.125 per share underlying each Inducement Warrant, and the Inducement Warrants have an exercise price of $6.36 per share. The completion of this transaction resulted in the exercise price of the Deerfield Warrant being adjusted downward to $46.25 per share.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and issuances of equity and debt could result in additional dilution to our stockholders.</w:t>
      </w:r>
    </w:p>
    <w:p>
      <w:pPr>
        <w:spacing w:after="0" w:line="198"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We may need additional capital in the future to fund our planned future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instance in January 2021, we issued and sold 6,765,463 shares of our common stock, pre-funded warrants to purchase 926,844 shares of our common stock and warrants to purchase 7,692,307 shares of our common stock at an exercise price per share of $6.50 in the Public Offering. Also in January 2021, the underwriter exercised its over-allotment option, in part, for warrants to purchase 754,035 shares of our common stock. Further, in February 2021, the underwriter again exercised its over-allotment option, in part, to purchase 374,035 shares of our common stock.</w:t>
      </w:r>
    </w:p>
    <w:p>
      <w:pPr>
        <w:spacing w:after="0" w:line="16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Also in January 2021, we entered into the Inducement Letters with certain holders of the Existing Warrants, pursuant to which such holders exercised for cash their Existing Warrants to purchase 6,620,358 shares of our common stock in exchange the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Inducement Warrants was $0.125 per share underlying each Inducement Warrant, and the Inducement Warrants have an exercise price of $6.36 per share.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Upon closing of the transactions contemplated under the December 2020 Exchange Agreement in January 2021, the holders of our Series B-2 convertible preferred stock are able to convert all or any portion of their shares of Series B-2 convertible preferred stock at any time following the PDUFA Date (as defined in the certificate of designation) at a conversion price equal to $6.4999 price per share.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According to the terms of the shares of Series B-2 convertible preferred stock in no event may any holder thereof convert such holder’s shares of Series B-2 convertible preferred stock to the extent such conversion would result in such holder beneficially owning more than 4.985% of the then issued and outstanding shares of our common stock. This conversion limitation may not be waived and any purported conversion that is inconsistent with this conversion limitation will be null and void. This conversion limitation will not apply to any conversion made immediately prior to a change of control transaction. If an equityholder is only able to convert such holder’s shares of Series B-2 convertible preferred stock into a limited number of shares due to this conversion limitation, such shares of Series B-2 convertible preferred stock could subsequently become convertible into the remainder of the shares as a result of a variety of events. This could occur, for example, if we issue more shares or such holder sells some of its existing shares.</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the holders of our shares of Series B-2 convertible preferred stock elect to convert such shares into common stock, your ownership interest will be diluted and the market price of our common stock may be materially and adversely effected.</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our stockholders may experience additional dilution, which could cause our stock price to fall.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7" w:name="page78"/>
    <w:bookmarkEnd w:id="77"/>
    <w:p>
      <w:pPr>
        <w:jc w:val="both"/>
        <w:spacing w:after="0" w:line="275" w:lineRule="auto"/>
        <w:rPr>
          <w:sz w:val="20"/>
          <w:szCs w:val="20"/>
          <w:color w:val="auto"/>
        </w:rPr>
      </w:pPr>
      <w:r>
        <w:rPr>
          <w:rFonts w:ascii="Arial" w:cs="Arial" w:eastAsia="Arial" w:hAnsi="Arial"/>
          <w:sz w:val="16"/>
          <w:szCs w:val="16"/>
          <w:b w:val="1"/>
          <w:bCs w:val="1"/>
          <w:i w:val="1"/>
          <w:iCs w:val="1"/>
          <w:color w:val="auto"/>
        </w:rPr>
        <w:t>The accounting method for the Deerfield Warrant, our previously outstanding senior secured convertible promissory notes and the warrant we issued to KVK under the APADAZ License Agreement could have a material effect on our reported financial results.</w:t>
      </w:r>
    </w:p>
    <w:p>
      <w:pPr>
        <w:spacing w:after="0" w:line="15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The Deerfield Warrant, our previously outstanding senior secured convertible promissory notes and the warrant we issued to KVK under the APADAZ License Agreement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2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Pursuant to the terms of the December 2020 Exchange Agreement, we have filed a registration statement to register for resale the shares of common stock issuable upon conversion of the shares of preferred stock or exercise of the warrants issued under the December 2020 Exchange Agreement. We also filed a registration statement covering the resale of the shares of our common stock issued or issuable upon the exercise of the Inducement Warrants. If these additional shares are sold, or if it is perceived that they will be sold, in the public market, the trading price of our common stock could decline.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8" w:name="page79"/>
    <w:bookmarkEnd w:id="78"/>
    <w:p>
      <w:pPr>
        <w:jc w:val="both"/>
        <w:ind w:right="20"/>
        <w:spacing w:after="0" w:line="349" w:lineRule="auto"/>
        <w:rPr>
          <w:sz w:val="20"/>
          <w:szCs w:val="20"/>
          <w:color w:val="auto"/>
        </w:rPr>
      </w:pPr>
      <w:r>
        <w:rPr>
          <w:rFonts w:ascii="Arial" w:cs="Arial" w:eastAsia="Arial" w:hAnsi="Arial"/>
          <w:sz w:val="14"/>
          <w:szCs w:val="14"/>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35" w:lineRule="exact"/>
        <w:rPr>
          <w:sz w:val="20"/>
          <w:szCs w:val="20"/>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providing that directors may be removed by stockholders only for cause;</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preventing the ability of our stockholders to call and bring business before special meetings and to take action by written consent in lieu of a meeting;</w:t>
      </w:r>
    </w:p>
    <w:p>
      <w:pPr>
        <w:spacing w:after="0" w:line="246"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w:t>
      </w:r>
    </w:p>
    <w:p>
      <w:pPr>
        <w:spacing w:after="0" w:line="175"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permitting the board of directors to issue up to 10,000,000 shares of preferred stock with any rights, preferences and privileges they may designate;</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providing that vacancies may be filled by remaining directors;</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preventing cumulative voting; and</w:t>
      </w:r>
    </w:p>
    <w:p>
      <w:pPr>
        <w:spacing w:after="0" w:line="246" w:lineRule="exact"/>
        <w:rPr>
          <w:rFonts w:ascii="Arial" w:cs="Arial" w:eastAsia="Arial" w:hAnsi="Arial"/>
          <w:sz w:val="16"/>
          <w:szCs w:val="16"/>
          <w:color w:val="auto"/>
        </w:rPr>
      </w:pPr>
    </w:p>
    <w:p>
      <w:pPr>
        <w:ind w:left="440" w:hanging="217"/>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providing for a supermajority requirement to amend our bylaws.</w:t>
      </w:r>
    </w:p>
    <w:p>
      <w:pPr>
        <w:spacing w:after="0" w:line="22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addition, the provisions of our termination agreement with Aquestive and the Deerfield Warrant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KP484 or KP879. Further, under the Deerfield Warrant, Deerfield has the right to demand that we redeem the Deerfield Warrant for a cash amount equal to the Black-Scholes value of a portion of the warrant upon the occurrence of specified events, including a merger, an asset sale or any other change of control transaction. A takeover of us may trigger the requirement that we repurchase the Deerfield Warrant, which could make it more costly for a potential acquirer to engage in a business combination transaction with us.</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Finally, in the event of a sale of the company, upon the amendment and restatement of the certificate of designation for our Series B-2 convertible preferred stock, the holders of our Series B-2 convertible preferred stock, if any, will receive an amount equal to the greater of (i) $1,000 per share, or (ii) the amount per share each such holder would have been entitled to receive if every share of Series B-2 Preferred Stock had been converted into common stock immediately prior to such sale of the company, in each case, plus any declared but unpaid dividends thereon. This would in turn reduce the distribution to the holders of our common stock in such change of control.</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79" w:name="page80"/>
    <w:bookmarkEnd w:id="79"/>
    <w:p>
      <w:pPr>
        <w:jc w:val="both"/>
        <w:spacing w:after="0" w:line="349" w:lineRule="auto"/>
        <w:rPr>
          <w:sz w:val="20"/>
          <w:szCs w:val="20"/>
          <w:color w:val="auto"/>
        </w:rPr>
      </w:pPr>
      <w:r>
        <w:rPr>
          <w:rFonts w:ascii="Arial" w:cs="Arial" w:eastAsia="Arial" w:hAnsi="Arial"/>
          <w:sz w:val="14"/>
          <w:szCs w:val="14"/>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certificate of incorporation or our bylaws, or (iv) any action asserting a claim against us that is governed by the internal affairs doctrine.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In addition, on and effective July 15, 2020, we amended and restated our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certificate of incorporation or our Bylaws (as each may be amended from time to time); (D) any action or proceeding to interpret, apply, enforce or determine the validity of our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this provision shall not apply to suits brought to enforce a duty or liability created by the Securities Act or the Securities Exchange Act of 1934, as amended,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or our Bylaws to be inapplicable or unenforceable in an action, we may incur additional costs associated with resolving such action in other jurisdictions.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which could adversely affect our profitability.</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As of December 31, 2020, we had federal net operating loss carryforwards of approximately $226.0 million, due to prior period losses, $138.1 million of which, if not utilized, will begin to expire in 2027. These net operating loss carryforwards could expire unused and be unavailable to offset future income tax liabilities, which could adversely affect our profitability.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80" w:name="page81"/>
    <w:bookmarkEnd w:id="80"/>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may have a material adverse effect on our business, cash flow, financial condition or results of operations.</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controls over financial reporting. For our fiscal year ended December 31, 2020, we performed system and process evaluation and testing of our internal controls over financial reporting to allow management to report on the effectiveness of our internal controls over financial reporting in our Annual Report on Form 10-K, as required by Section 404 of the Sarbanes-Oxley Act. We will be required to perform this evaluation and testing of our internal controls over financial reporting to allow management to report on the effectiveness of our internal controls over financial reporting on an annual basis. This requires that we incur substantial additional professional fees and internal costs and that we expend significant management efforts on an annual basis. We have and will be required to test our internal controls within a specified period, and, as a result, we may experience difficulty in meeting these reporting requirements.</w:t>
      </w:r>
    </w:p>
    <w:p>
      <w:pPr>
        <w:spacing w:after="0" w:line="157"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you may not be able to resell your shares of our common stock for a profit, if at all.</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 active trading market for our shares may not be sustained. If an active market for our common stock is not sustained, it may be difficult for you to sell our shares at an attractive price or at all.</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increased costs and demands upon management as a result of being a public company.</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56"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82" w:name="page83"/>
    <w:bookmarkEnd w:id="82"/>
    <w:p>
      <w:pPr>
        <w:spacing w:after="0"/>
        <w:tabs>
          <w:tab w:leader="none" w:pos="66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UNRESOLVED STAFF COMMENTS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1B.</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2020, we occupied approximately 17,000 square feet of headquarters office space in Celebration, Florida, comprised of two contiguous office suites, under a non-cancelable lease agreement that expires in August 2025 and February 2026, respectively. We have the right to extend the term of the lease for two successive five-year terms upon expiration. In addition, we occupy leased laboratory space in Coralville, Iowa and Blacksburg, Virginia and leased office space in Chapel Hill, North Carolina. We believe that our facilities are adequate for our current needs.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PART II</w:t>
      </w:r>
    </w:p>
    <w:p>
      <w:pPr>
        <w:spacing w:after="0" w:line="198" w:lineRule="exact"/>
        <w:rPr>
          <w:sz w:val="20"/>
          <w:szCs w:val="20"/>
          <w:color w:val="auto"/>
        </w:rPr>
      </w:pPr>
    </w:p>
    <w:p>
      <w:pPr>
        <w:jc w:val="both"/>
        <w:ind w:left="680" w:hanging="680"/>
        <w:spacing w:after="0" w:line="280"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Listing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ticker symbol “KMPH”.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our Common Stock</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As of December 31, 2020, there were approximately 134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regarding securities authorized for issuance under equity compensation plans is included in Part III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are a specialty pharmaceutical company focused on the discovery and development of proprietary prodrugs to treat serious medical conditions through our proprietary LAT technology. We utilize our proprietary LAT technology to generate improved prodrug versions of drugs approved by the FDA as well as to generate prodrug versions of existing compounds that may have applications for new disease indications. Our product candidate pipeline is focused on the high need areas of ADHD, SUD and IH. Our co-lead clinical development candidates, AZSTARYS (formerly referred to as KP415) and KP484, are both based on a prodrug of d-MPH but with differing ER effect profiles, and are intended for the treatment of ADHD. Our clinical product candidate for the treatment of SUD is KP879, based on a prodrug of d-MPH. Our preclinical prodrug product candidate for the treatment of IH is KP1077. We have entered into a collaboration and license agreement with Commave for the development, manufacture and commercialization of our product candidates containing SDX and d-MPH. In addition, we have announced our commercial partnership with KVK of APADAZ, an FDA approved IR combination product of benzhydrocodone, our prodrug of hydrocodone, and APAP for the short-term (no more than 14 days) management of acute pain severe enough to require an opioid analgesic and for which alternative treatments are inadequate.</w:t>
      </w:r>
    </w:p>
    <w:p>
      <w:pPr>
        <w:spacing w:after="0" w:line="159" w:lineRule="exact"/>
        <w:rPr>
          <w:sz w:val="20"/>
          <w:szCs w:val="20"/>
          <w:color w:val="auto"/>
        </w:rPr>
      </w:pPr>
    </w:p>
    <w:p>
      <w:pPr>
        <w:ind w:right="740"/>
        <w:spacing w:after="0" w:line="294" w:lineRule="auto"/>
        <w:rPr>
          <w:sz w:val="20"/>
          <w:szCs w:val="20"/>
          <w:color w:val="auto"/>
        </w:rPr>
      </w:pPr>
      <w:r>
        <w:rPr>
          <w:rFonts w:ascii="Arial" w:cs="Arial" w:eastAsia="Arial" w:hAnsi="Arial"/>
          <w:sz w:val="14"/>
          <w:szCs w:val="14"/>
          <w:color w:val="auto"/>
        </w:rPr>
        <w:t>We expect that our sources of revenues will be through payments arising from our license agreements with Commave and KVK, our consulting agreement with Corium and through other consulting arrangements and any other future arrangements we might enter into related to one of our other product candidates. To date, we</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have generated revenue from the KP415 License Agreement in the form of the non-refundable upfront payment of $10.0 million, of which we paid Aquestive $1.0 million as a royalty payment, a regulatory milestone payment of $5.0 million following the FDA’s acceptance of the AZSTARYS NDA, of which we paid Aquestive $0.5 million as a royalty payment, reimbursement of out-of-pocket third-party research and development costs and payments related to the performance of consulting services. In addition, we have generated revenue under the Corium Consulting Agreement and other consulting arrangements for the performance of consulting services as well as reimbursement of out-of-pocket third-party costs associated with those services.</w:t>
      </w:r>
    </w:p>
    <w:p>
      <w:pPr>
        <w:spacing w:after="0" w:line="17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March 2, 2021, we announced that the FDA approved the NDA for AZSTARYS, a once-daily product for the treatment of ADHD in patients ranging from six years and older. Corium will lead the commercialization of AZSTARYS per the KP415 License Agreement. Corium expects to make AZSTARYS commercially available in the U.S. as early as the second half of 2021.</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have had recurring negative cash flows from operations and, as of December 31, 2020, had an accumulated deficit of $258.5 million. Our cash flows used in operations for the years ended December 31, 2020 and 2019 were $1.9 million and $23.7 million, respectively.</w:t>
      </w:r>
    </w:p>
    <w:p>
      <w:pPr>
        <w:spacing w:after="0" w:line="152"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05" w:lineRule="exact"/>
        <w:rPr>
          <w:sz w:val="20"/>
          <w:szCs w:val="20"/>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our ongoing preclinical studies, clinical trials and our product development activities for our pipeline of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seek regulatory approvals for any product candidates that successfully complete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research and preclinical development and initiate clinical trials of our other product candidates;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seek to discover and develop additional product candidates either internally or in partnership with other pharmaceutical companies;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adapt our regulatory compliance efforts to incorporate requirements applicable to marketed products;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 additional legal, accounting and other expenses in operating as a public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85" w:name="page86"/>
    <w:bookmarkEnd w:id="85"/>
    <w:p>
      <w:pPr>
        <w:jc w:val="both"/>
        <w:spacing w:after="0" w:line="291" w:lineRule="auto"/>
        <w:rPr>
          <w:sz w:val="20"/>
          <w:szCs w:val="20"/>
          <w:color w:val="auto"/>
        </w:rPr>
      </w:pPr>
      <w:r>
        <w:rPr>
          <w:rFonts w:ascii="Arial" w:cs="Arial" w:eastAsia="Arial" w:hAnsi="Arial"/>
          <w:sz w:val="14"/>
          <w:szCs w:val="14"/>
          <w:color w:val="auto"/>
        </w:rPr>
        <w:t>Our commercial revenue, if any, will be derived from royalties earned from the sales of AZSTARYS, APADAZ, or any of our other product candidates for which we obtain regulatory approval. In September 2019, we entered into the KP415 License Agreement, pursuant to which we granted an exclusive, worldwide license to Commave to develop, manufacture and commercialize our product candidates containing SDX and d-MPH, including AZSTARYS and KP484. In October 2018, we entered into the APADAZ License Agreement with KVK, pursuant to which we granted an exclusive license to KVK to commercialize APADAZ in the United States We cannot guarantee that either Commave or KVK will be able to successfully commercialize AZSTARYS or any of our product candidates covered under the KP415 License Agreement, or APADAZ, or that we will ever receive any payments under the APADAZ License Agreement from commercial sales of APADAZ or any future payments under the KP415 License Agreement. We also do not know when, if ever, any other product candidate will be commercially available. Accordingly, we will need to continue to rely on additional financing to achieve our business objectives.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 Financial Developments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January and February 2021, we undertook a series of transactions to regain our Nasdaq Capital Market listing and improve our balance sheet. These included a reverse stock split, an underwritten public offering, or the Public Offering, a restructuring or our debt and ultimately a payoff of all remaining debt and a transaction in which we induced the holders of some of the warrants we issued in the public offering to exercise those warrants for cash.</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Stock Split and Nasdaq Relisting</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Effective May 21, 2020, our common stock had been delisted from The Nasdaq Capital Market and we began listing on the OTC Markets Venture Market under the symbol “KMPH”. In anticipation of the Public Offering, we determined we would need to regain our Nasdaq listing.</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order to relist our common stock on The Nasdaq Capital Market, our common stock was required to satisfy the initial listing standards of the Nasdaq Capital Market, which including among others, that we have stockholders’ equity of at least $5.0 million, a market value of unrestricted publicly held shares of at least $15.0 million, at least 1.0 million unrestricted publicly held shares, at least 300 unrestricted round lot stockholders, at least three market makers and a bid price of at least $4.00 per share, or, collectively, the Nasdaq Listing Requirements. Accordingly, on December 23, 2020, we effectuated a 1-for-16 reverse stock split of our common stock in order to satisfy the bid price component of the Nasdaq Listing Requirements.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7, 2021, our common stock was approved for listing on The Nasdaq Capital Market. Our common stock began trading on The Nasdaq Capital Market on January 8, 2021 under the ticker symbol “KMPH”.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Restructuring</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In anticipation of the Public Offering, and to meet the Nasdaq Listing Requirements, we agreed in December 2020 to restructure our outstanding senior secured convertible notes issued in December 2019 and January 2020, or the Senior Secured Notes, in the aggregate principal amount of $60.8 million and the senior secured convertible promissory note held by Deerfield Private Design Fund III, L.P., or Deerfield, in the principal amount of $7.5 million, or the Deerfield Note, and, collectively the Senior Secured Notes, the Facility Notes. The total outstanding principal and accrued interest under the Facility Notes was $69.4 million as of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Under the terms of the agreement we entered into with our lenders in connection with this debt restructuring, which we refer to as the December 2020 Exchange Agreement, 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January 12, 2021, in connection with the closing of our Public Offering, we:</w:t>
      </w:r>
    </w:p>
    <w:p>
      <w:pPr>
        <w:spacing w:after="0" w:line="186" w:lineRule="exact"/>
        <w:rPr>
          <w:sz w:val="20"/>
          <w:szCs w:val="20"/>
          <w:color w:val="auto"/>
        </w:rPr>
      </w:pPr>
    </w:p>
    <w:p>
      <w:pPr>
        <w:ind w:left="440" w:right="20" w:hanging="217"/>
        <w:spacing w:after="0" w:line="275"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exchanged $31.5 million of the outstanding principal and accrued interest on the Facility Notes for (i) 31,476.98412 shares of our Series B-2 convertible preferred stock, and (ii) warrants exercisable for 3,632,019 shares of our common stock, or the Exchange Warrants; and</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made a payment of $30.3 million, or the Debt Payment, in partial repayment of the remaining outstanding principal and accrued interest on the Facility Notes.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Each share of Series B-2 convertible preferred stock issued pursuant to the December 2020 Exchange Agreement has a stated value of $1,000 and is convertible into shares of our common stock at any time following the earlier of March 2, 2021 or our public announcement of the outcome of the FDA’s review of our AZSTARYS NDA at the option of the holder thereof, subject to specified limits, at a conversion price of $6.4999. The shares of Series B-2 convertible preferred stock issued under the December 2020 Exchange Agreement are convertible into an aggregate of 4,842,690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Exchange Warrants have substantially the same terms and conditions as the warrants sold by us in our January 2021 underwritten offering.</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05" w:lineRule="exact"/>
        <w:rPr>
          <w:sz w:val="20"/>
          <w:szCs w:val="20"/>
          <w:color w:val="auto"/>
        </w:rPr>
      </w:pPr>
    </w:p>
    <w:p>
      <w:pPr>
        <w:ind w:left="440" w:hanging="217"/>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maturity date was changed to March 31, 2023, and the debt is prepayable upon specified conditions;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interest would accrue at the rate of 6.75% per annum, payable quarterly, would be added to principal until June 30, 2021, and then be payable in cash thereafter.</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closing of the transactions contemplated under the December 2020 Exchange Agreement, we filed an amended and restated certificate of designation with the Secretary of State of Delaware in order to modify the terms of our authorized, but unissued, shares of Series B-2 convertible preferred stock to reflect those contemplated under the December 2020 Exchange Agreement.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filed a registration statement to register for resale under the Securities Act the shares of common stock issuable upon conversion of the shares of Series B-2 convertible preferred stock and exercise of the Exchange Warrants.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86" w:name="page87"/>
    <w:bookmarkEnd w:id="86"/>
    <w:p>
      <w:pPr>
        <w:spacing w:after="0"/>
        <w:rPr>
          <w:sz w:val="20"/>
          <w:szCs w:val="20"/>
          <w:color w:val="auto"/>
        </w:rPr>
      </w:pPr>
      <w:r>
        <w:rPr>
          <w:rFonts w:ascii="Arial" w:cs="Arial" w:eastAsia="Arial" w:hAnsi="Arial"/>
          <w:sz w:val="16"/>
          <w:szCs w:val="16"/>
          <w:i w:val="1"/>
          <w:iCs w:val="1"/>
          <w:color w:val="auto"/>
        </w:rPr>
        <w:t>Public Offering</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On January 8, 2021, we issued and sold 6,765,463 shares of our common stock, pre-funded warrants to purchase 926,844 shares of our common stock and warrants to purchase 7,692,307 shares of our common stock at an exercise price per share of $6.50 in the Public Offering. In addition, we granted the underwriter for the Public Offering an option to purchase, for a period of 45 days, up to an additional 1,153,846 shares of our common stock and/or warrants to purchase up to an additional 1,153,846 shares of our common stock. On January 8, 2021, the underwriter exercised its over-allotment option, in part, for warrants to purchase 754,035 shares of our common stock. On January 12, 2021, we closed the Public Offering. Further, on February 1, 2021, the underwriter again exercised its over-allotment option, in part, to purchase 374,035 shares of our common stock. On February 3, 2021, we closed the underwriter's partial exercise of its over-allotment option.</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2020 Exchange Agreement Amendment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January 12, 2021, in connection with the transactions contemplated by the December 2020 Exchange Agreement, we entered into an Amendment to Senior Secured Convertible Notes and Amendment to Warrant, or the January 2021 Amendment, with Deerfield and Deerfield Special Situations Fund, LP, collectively the Deerfield Holders. The January 2021 Amendment modified certain specified terms of (i) the Facility Notes and (ii) the warrant held be Deerfield, issued on June 2, 2014, or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 Exercise Inducement Letters and Issuance of Warrants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January 26, 2021, we entered into warrant exercise inducement offer letters, or the Inducement Letters, with certain holders of warrants issued in the Public Offering, or the Existing Warrants, and collectively, the Exercising Holders, pursuant to which such holders exercised for cash their Existing Warrants to purchase 6,620,358 shares of our common stock in exchange for new warrants, or the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Inducement Warrants was $0.125 per share underlying each Inducement Warrant, and the Inducement Warrants have an exercise price of $6.36 per share. We received aggregate gross proceeds of $44.0 million from the exercise of the Existing Warrants by the Exercising Holders and the sale of the Inducement Warrants.</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filed a registration statement on Form S-3 covering the resale of the shares of our common stock issued or issuable upon the exercise of the Inducement Warrants which was declared effective on February 16, 2021.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Payoff of Facility Agreement Notes and Termination of Facility Agreement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On February 8, 2021, we entered into a payoff letter with the Facility Note holders, pursuant to which we agreed to pay off and thereby terminate the Facility Agreement.</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Pursuant to the payoff letter, we paid a total of $8.0 million to the Facility Note holders, representing the principal balance, accrued interest outstanding and a prepayment fee in repayment of our outstanding obligations under the Facility Agreement.</w:t>
      </w:r>
    </w:p>
    <w:p>
      <w:pPr>
        <w:spacing w:after="0" w:line="152"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Pursuant to the payoff letter, all outstanding indebtedness and obligations of us owing to the Facility Note holders under the Facility Agreement have been paid in full. The Facility Agreement and the notes thereunder, as well as the security interests in the assets of us securing the Facility Agreement and note obligations, have been terminated.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Third-Party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KP415 License Agreement</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September 2019, we entered into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65"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Under the terms of the KP415 License Agreement, we granted Commave an exclusive, worldwide license to commercialize and develop the Licensed Product Candidates; provided that such license shall apply to an Additional Product Candidates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As a result of the FDA’s approval of the AZSTARYS NDA, we have earned a regulatory milestone payment following FDA approval as provided under the KP415 License Agreement, and we are working with Commave to evaluate the related provisions and amounts. In addition, Commave agreed to make additional payments upon the achievement of specified U.S. sales milestones of up to $420.0 million in the aggregate, depending, among other things, on timing of approval for AZSTARYS and its final approved label, if any. In May 2020, the FDA accepted our NDA for AZSTARYS. Per the KP415 License Agreement, we received a regulatory milestone payment of $5.0 million following the FDA’s acceptance of the AZSTARYS NDA.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6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Commave agreed to be responsible for and reimburse us for all of development, commercialization and regulatory expenses for the Licensed Product Candidates, subject to certain limitations as set forth in the KP415 License Agreement.</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affiliates challenge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63"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KP415 License Agreement also established a joint steering committee, which monitors progress of the development of both AZSTARYS and KP484. Subject to the oversight of the joint steering committee, we otherwise retain all responsibility for the conduct of all regulatory activities required to obtain new drug application approval of AZSTARYS and KP484; provided that Commave shall be the sponsor of any clinical trials conducted by us on behalf of Commave.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i w:val="1"/>
          <w:iCs w:val="1"/>
          <w:color w:val="auto"/>
        </w:rPr>
        <w:t>APADAZ License Agreement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October 2018, we entered into the APADAZ License Agreement with KVK pursuant to which we have granted an exclusive license to KVK to conduct regulatory activities for, manufacture and commercialize APADAZ in the United States.</w:t>
      </w:r>
    </w:p>
    <w:p>
      <w:pPr>
        <w:spacing w:after="0" w:line="152"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Pursuant to the APADAZ License Agreement, KVK has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We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the other party encounters bankruptcy or insolvency or (iii) if the Initial Adoption Milestone is not achieved. Upon termination, all licenses and other rights granted by us to KVK pursuant to the APADAZ License Agreement would revert to us.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APADAZ License Agreement also established a joint steering committee, which monitors progress of the commercialization of APADAZ.</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i w:val="1"/>
          <w:iCs w:val="1"/>
          <w:color w:val="auto"/>
        </w:rPr>
        <w:t>Other Third-Party Agreements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Under our March 2012 asset purchase agreement with Shire, Shire had a right of first refusal to acquire, license or commercialize AZSTARYS and KP484. In early 2019, Shire was acquired by Takeda Pharmaceutical Company, Ltd, or Takeda, to whom this right of first refusal was transferred at that time. Takeda did not exercise this right of first refusal in connection with our entry into the KP415 License Agreement.</w:t>
      </w:r>
    </w:p>
    <w:p>
      <w:pPr>
        <w:spacing w:after="0" w:line="162"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Under our March 2012 termination agreement with Aquestive, Aquestive has the right to receive a royalty amount equal to 10% of any value generated by AZSTARYS, KP484 or KP879, and any product candidates containing SDX, including royalty payments on any license of AZSTARYS, KP484 or KP879, the sale of AZSTARYS, KP484 or KP879 to a third party, the commercialization of AZSTARYS, KP484 or KP879 and the portion of any consideration that is attributable to the value of AZSTARYS, KP484 or KP879 and paid to us or our stockholders in a change of control transaction. In connection with the KP415 License Agreement, we paid Aquestive a royalty equal to 10% of the upfront license payment we received in the third quarter of 2019 and the regulatory milestone payment we received in the second quarter of 2020.</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commercial revenue, if any, will be derived from sales of AZSTARYS, APADAZ or any of our other product candidates for which we obtain regulatory approval. We expect that our only source of revenues will be through payments arising from our license agreements with Commave and KVK, and through any other future arrangements related to one of our other product candidates. To date, we have generated revenue from the KP415 License Agreement in the form of the non-refundable upfront payment of $10.0 million, of which we paid Aquestive $1.0 million as a royalty payment, a regulatory milestone payment of $5.0 million following the FDA’s acceptance of the AZSTARYS NDA, of which we paid Aquestive $0.5 million as a royalty payment, reimbursement of out-of-pocket third-party research and development costs and payments related to the performance of consulting services. In addition, we have generated revenue under the Corium Consulting Agreement and other consulting arrangements for the performance of consulting services as well as reimbursement of out-of-pocket third-party costs associated with those services. We cannot guarantee that either Commave or KVK will be able to successfully commercialize AZSTARYS or our product candidates covered under the KP415 License Agreement, or APADAZ, or that we will ever receive any payments under the KP415 License Agreement from commercial sales of APADAZ or any future payments under the APADAZ License Agreement. We also do not know when, if ever, any other product candidate will be commercially available.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Royalties and Contract Costs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components of our royalties and contract costs are royalties and expenses directly attributable to revenue. To date, we have generated revenue from the KP415 License Agreement in the form of the non-refundable upfront payment of $10.0 million, a regulatory milestone payment of $5.0 million following the FDA’s acceptance of the AZSTARYS NDA, reimbursement of out-of-pocket third-party research and development costs and payments related to the performance of consulting services. In connection with the KP415 License Agreement, we paid Aquestive a royalty equal to 10% of the upfront license payment we received in the third quarter of 2019 and 10% of the regulatory milestone, related to the acceptance of the NDA, we received in the second quarter of 2020. In addition, we capitalized incremental costs directly attributable to the KP415 License Agreement, these costs are amortized to royalties and contract costs as revenue is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classify our operating expenses into three categories: research and development expenses, general and administrative expenses and severance expense.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research and development expenses and general and administrative expenses based on employee headcount and the nature of work performed by each employee.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i w:val="1"/>
          <w:iCs w:val="1"/>
          <w:color w:val="auto"/>
        </w:rPr>
        <w:t>Research and Development Expense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62" w:lineRule="exact"/>
        <w:rPr>
          <w:sz w:val="20"/>
          <w:szCs w:val="20"/>
          <w:color w:val="auto"/>
        </w:rPr>
      </w:pPr>
    </w:p>
    <w:p>
      <w:pPr>
        <w:ind w:left="440" w:hanging="217"/>
        <w:spacing w:after="0"/>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salaries and personnel-related costs, including benefits and any stock-based compensation, for our scientific personnel performing research and development activities;</w:t>
      </w:r>
    </w:p>
    <w:p>
      <w:pPr>
        <w:spacing w:after="0" w:line="221" w:lineRule="exact"/>
        <w:rPr>
          <w:rFonts w:ascii="Arial" w:cs="Arial" w:eastAsia="Arial" w:hAnsi="Arial"/>
          <w:sz w:val="14"/>
          <w:szCs w:val="14"/>
          <w:color w:val="auto"/>
        </w:rPr>
      </w:pPr>
    </w:p>
    <w:p>
      <w:pPr>
        <w:ind w:left="440" w:hanging="217"/>
        <w:spacing w:after="0"/>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costs related to executing preclinical studies and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fees paid to consultants and other third parties who support our product candidate development;</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costs in seeking regulatory approval of our products;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allocated facility-related costs and overhead.</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costs for the years ended December 31, 2020 and 2019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64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Outsourced development costs directly identified to programs: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1"/>
        </w:trPr>
        <w:tc>
          <w:tcPr>
            <w:tcW w:w="6400" w:type="dxa"/>
            <w:vAlign w:val="bottom"/>
          </w:tcPr>
          <w:p>
            <w:pPr>
              <w:ind w:left="280"/>
              <w:spacing w:after="0"/>
              <w:rPr>
                <w:sz w:val="20"/>
                <w:szCs w:val="20"/>
                <w:color w:val="auto"/>
              </w:rPr>
            </w:pPr>
            <w:r>
              <w:rPr>
                <w:rFonts w:ascii="Arial" w:cs="Arial" w:eastAsia="Arial" w:hAnsi="Arial"/>
                <w:sz w:val="16"/>
                <w:szCs w:val="16"/>
                <w:color w:val="auto"/>
              </w:rPr>
              <w:t>AZSTARYS</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726</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7,831</w:t>
            </w:r>
          </w:p>
        </w:tc>
      </w:tr>
      <w:tr>
        <w:trPr>
          <w:trHeight w:val="191"/>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KP484</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3"/>
        </w:trPr>
        <w:tc>
          <w:tcPr>
            <w:tcW w:w="6400" w:type="dxa"/>
            <w:vAlign w:val="bottom"/>
          </w:tcPr>
          <w:p>
            <w:pPr>
              <w:ind w:left="280"/>
              <w:spacing w:after="0"/>
              <w:rPr>
                <w:sz w:val="20"/>
                <w:szCs w:val="20"/>
                <w:color w:val="auto"/>
              </w:rPr>
            </w:pPr>
            <w:r>
              <w:rPr>
                <w:rFonts w:ascii="Arial" w:cs="Arial" w:eastAsia="Arial" w:hAnsi="Arial"/>
                <w:sz w:val="16"/>
                <w:szCs w:val="16"/>
                <w:color w:val="auto"/>
              </w:rPr>
              <w:t>APADAZ</w:t>
            </w: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w:t>
            </w:r>
          </w:p>
        </w:tc>
      </w:tr>
      <w:tr>
        <w:trPr>
          <w:trHeight w:val="183"/>
        </w:trPr>
        <w:tc>
          <w:tcPr>
            <w:tcW w:w="64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outsourced development costs directly identified to programs</w:t>
            </w:r>
          </w:p>
        </w:tc>
        <w:tc>
          <w:tcPr>
            <w:tcW w:w="8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4"/>
              </w:rPr>
              <w:t>1,175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11,721</w:t>
            </w:r>
          </w:p>
        </w:tc>
      </w:tr>
      <w:tr>
        <w:trPr>
          <w:trHeight w:val="183"/>
        </w:trPr>
        <w:tc>
          <w:tcPr>
            <w:tcW w:w="6400" w:type="dxa"/>
            <w:vAlign w:val="bottom"/>
          </w:tcPr>
          <w:p>
            <w:pPr>
              <w:spacing w:after="0"/>
              <w:rPr>
                <w:sz w:val="20"/>
                <w:szCs w:val="20"/>
                <w:color w:val="auto"/>
              </w:rPr>
            </w:pPr>
            <w:r>
              <w:rPr>
                <w:rFonts w:ascii="Arial" w:cs="Arial" w:eastAsia="Arial" w:hAnsi="Arial"/>
                <w:sz w:val="16"/>
                <w:szCs w:val="16"/>
                <w:color w:val="auto"/>
              </w:rPr>
              <w:t>Research and development costs not directly identified to programs: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1"/>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Personnel costs including cash compensation, benefits and stock-based compensation</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4"/>
              </w:rPr>
              <w:t>5,645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w:t>
            </w:r>
          </w:p>
        </w:tc>
      </w:tr>
      <w:tr>
        <w:trPr>
          <w:trHeight w:val="191"/>
        </w:trPr>
        <w:tc>
          <w:tcPr>
            <w:tcW w:w="6400" w:type="dxa"/>
            <w:vAlign w:val="bottom"/>
          </w:tcPr>
          <w:p>
            <w:pPr>
              <w:ind w:left="280"/>
              <w:spacing w:after="0"/>
              <w:rPr>
                <w:sz w:val="20"/>
                <w:szCs w:val="20"/>
                <w:color w:val="auto"/>
              </w:rPr>
            </w:pPr>
            <w:r>
              <w:rPr>
                <w:rFonts w:ascii="Arial" w:cs="Arial" w:eastAsia="Arial" w:hAnsi="Arial"/>
                <w:sz w:val="16"/>
                <w:szCs w:val="16"/>
                <w:color w:val="auto"/>
              </w:rPr>
              <w:t>Facilities costs</w:t>
            </w:r>
          </w:p>
        </w:tc>
        <w:tc>
          <w:tcPr>
            <w:tcW w:w="820" w:type="dxa"/>
            <w:vAlign w:val="bottom"/>
          </w:tcPr>
          <w:p>
            <w:pPr>
              <w:spacing w:after="0"/>
              <w:rPr>
                <w:sz w:val="16"/>
                <w:szCs w:val="16"/>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191"/>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costs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4"/>
              </w:rPr>
              <w:t>1,500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w:t>
            </w:r>
          </w:p>
        </w:tc>
      </w:tr>
      <w:tr>
        <w:trPr>
          <w:trHeight w:val="183"/>
        </w:trPr>
        <w:tc>
          <w:tcPr>
            <w:tcW w:w="6400" w:type="dxa"/>
            <w:vAlign w:val="bottom"/>
          </w:tcPr>
          <w:p>
            <w:pPr>
              <w:ind w:left="580"/>
              <w:spacing w:after="0"/>
              <w:rPr>
                <w:sz w:val="20"/>
                <w:szCs w:val="20"/>
                <w:color w:val="auto"/>
              </w:rPr>
            </w:pPr>
            <w:r>
              <w:rPr>
                <w:rFonts w:ascii="Arial" w:cs="Arial" w:eastAsia="Arial" w:hAnsi="Arial"/>
                <w:sz w:val="16"/>
                <w:szCs w:val="16"/>
                <w:color w:val="auto"/>
              </w:rPr>
              <w:t>Total research and development costs not directly allocated to programs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4"/>
              </w:rPr>
              <w:t>7,668</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7,694</w:t>
            </w: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Total research and development expenses</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4"/>
              </w:rPr>
              <w:t>8,843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19,415</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We anticipate that our research and development expense will fluctuate for the foreseeable future as we continue our efforts to advance the development of our product candidates, subject to the availability of additional funding. In accordance with the KP415 License Agreement, Commave has also agreed to be responsible and reimburse us for all of development, commercialization and regulatory expenses for the Licensed Product Candidates, subject to certain limitations as set forth in the KP415 License Agreement.</w:t>
      </w:r>
    </w:p>
    <w:p>
      <w:pPr>
        <w:spacing w:after="0" w:line="12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successful commercialization of AZSTARYS, APADAZ, and any of our other product candidates that may be approved and the development of our product candidates is highly uncertain. At this time, we cannot reasonably estimate the nature, timing or costs required to commercialize AZSTARYS, APADAZ, or any of our other product candidates, if approved, and complete the remaining development of any product candidates. This is due to the numerous risks and uncertainties associated with the commercialization and development of our products and product candidates.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5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expect that our general and administrative expense will fluctuate as we continue to operate as a public reporting company and continue to develop our product candidates. We believe that these fluctuations will likely include costs related to the hiring of additional personnel and fees for outside consultants, lawyers and accountants. We also expect to continue to incur costs to comply with corporate governance, internal controls, investor relations, disclosure and similar requirements applicable to public reporting companies.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Severance Expense</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Severance expense in 2020 consisted of severance payments and stock-based compensation paid to our former chief business officer who ceased to serve in this role in February 2020. We had no severance expense in 2019.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Income</w:t>
      </w:r>
    </w:p>
    <w:p>
      <w:pPr>
        <w:spacing w:after="0" w:line="198"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Other (expense) income consists primarily of non-cash costs associated with fair value adjustments to our derivative and warrant liability and amortization of debt issuance costs and debt discount to interest expense. Other (expense) income also includes interest expense incurred on our outstanding borrowings, as well as, interest and other income consisting primarily of interest earned on investments. These items are unrelated to our core business and thus are recognized as other (expense) income in our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Benefit</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Income tax benefit consists of refundable state income tax credits. To date, we have not been required to pay U.S. federal or state income taxes because we have not generated taxable income. We have received state income tax credits related to our qualified research activities in Iowa.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8"/>
        </w:trPr>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Results of Operations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82"/>
        </w:trPr>
        <w:tc>
          <w:tcPr>
            <w:tcW w:w="6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Comparison of the Years Ended December 31, 2020 and 2019 (in thousands):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2"/>
        </w:trPr>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w w:val="97"/>
              </w:rPr>
              <w:t>Year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20"/>
              <w:spacing w:after="0"/>
              <w:rPr>
                <w:sz w:val="20"/>
                <w:szCs w:val="20"/>
                <w:color w:val="auto"/>
              </w:rPr>
            </w:pPr>
            <w:r>
              <w:rPr>
                <w:rFonts w:ascii="Arial" w:cs="Arial" w:eastAsia="Arial" w:hAnsi="Arial"/>
                <w:sz w:val="16"/>
                <w:szCs w:val="16"/>
                <w:b w:val="1"/>
                <w:bCs w:val="1"/>
                <w:color w:val="auto"/>
              </w:rPr>
              <w:t>Period-to</w:t>
            </w:r>
          </w:p>
        </w:tc>
      </w:tr>
      <w:tr>
        <w:trPr>
          <w:trHeight w:val="183"/>
        </w:trPr>
        <w:tc>
          <w:tcPr>
            <w:tcW w:w="11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8"/>
              </w:rPr>
              <w:t>Period Change</w:t>
            </w:r>
          </w:p>
        </w:tc>
      </w:tr>
      <w:tr>
        <w:trPr>
          <w:trHeight w:val="183"/>
        </w:trPr>
        <w:tc>
          <w:tcPr>
            <w:tcW w:w="11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13,288</w:t>
            </w:r>
          </w:p>
        </w:tc>
        <w:tc>
          <w:tcPr>
            <w:tcW w:w="36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191"/>
        </w:trPr>
        <w:tc>
          <w:tcPr>
            <w:tcW w:w="11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Royalty and direct contract acquisition costs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1,305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191"/>
        </w:trPr>
        <w:tc>
          <w:tcPr>
            <w:tcW w:w="1120" w:type="dxa"/>
            <w:vAlign w:val="bottom"/>
          </w:tcPr>
          <w:p>
            <w:pPr>
              <w:spacing w:after="0"/>
              <w:rPr>
                <w:sz w:val="16"/>
                <w:szCs w:val="16"/>
                <w:color w:val="auto"/>
              </w:rPr>
            </w:pPr>
          </w:p>
        </w:tc>
        <w:tc>
          <w:tcPr>
            <w:tcW w:w="50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8,843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19,415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(10,572)</w:t>
            </w:r>
          </w:p>
        </w:tc>
      </w:tr>
      <w:tr>
        <w:trPr>
          <w:trHeight w:val="191"/>
        </w:trPr>
        <w:tc>
          <w:tcPr>
            <w:tcW w:w="1120" w:type="dxa"/>
            <w:vAlign w:val="bottom"/>
          </w:tcPr>
          <w:p>
            <w:pPr>
              <w:spacing w:after="0"/>
              <w:rPr>
                <w:sz w:val="16"/>
                <w:szCs w:val="16"/>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7,921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w:t>
            </w:r>
          </w:p>
        </w:tc>
      </w:tr>
      <w:tr>
        <w:trPr>
          <w:trHeight w:val="191"/>
        </w:trPr>
        <w:tc>
          <w:tcPr>
            <w:tcW w:w="1120" w:type="dxa"/>
            <w:vAlign w:val="bottom"/>
          </w:tcPr>
          <w:p>
            <w:pPr>
              <w:spacing w:after="0"/>
              <w:rPr>
                <w:sz w:val="16"/>
                <w:szCs w:val="16"/>
                <w:color w:val="auto"/>
              </w:rPr>
            </w:pPr>
          </w:p>
        </w:tc>
        <w:tc>
          <w:tcPr>
            <w:tcW w:w="5060" w:type="dxa"/>
            <w:vAlign w:val="bottom"/>
          </w:tcPr>
          <w:p>
            <w:pPr>
              <w:ind w:left="280"/>
              <w:spacing w:after="0"/>
              <w:rPr>
                <w:sz w:val="20"/>
                <w:szCs w:val="20"/>
                <w:color w:val="auto"/>
              </w:rPr>
            </w:pPr>
            <w:r>
              <w:rPr>
                <w:rFonts w:ascii="Arial" w:cs="Arial" w:eastAsia="Arial" w:hAnsi="Arial"/>
                <w:sz w:val="16"/>
                <w:szCs w:val="16"/>
                <w:color w:val="auto"/>
              </w:rPr>
              <w:t>Severance expense</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r>
      <w:tr>
        <w:trPr>
          <w:trHeight w:val="183"/>
        </w:trPr>
        <w:tc>
          <w:tcPr>
            <w:tcW w:w="1120" w:type="dxa"/>
            <w:vAlign w:val="bottom"/>
          </w:tcPr>
          <w:p>
            <w:pPr>
              <w:spacing w:after="0"/>
              <w:rPr>
                <w:sz w:val="15"/>
                <w:szCs w:val="15"/>
                <w:color w:val="auto"/>
              </w:rPr>
            </w:pPr>
          </w:p>
        </w:tc>
        <w:tc>
          <w:tcPr>
            <w:tcW w:w="5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18,897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33,176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(14,279)</w:t>
            </w:r>
          </w:p>
        </w:tc>
      </w:tr>
      <w:tr>
        <w:trPr>
          <w:trHeight w:val="183"/>
        </w:trPr>
        <w:tc>
          <w:tcPr>
            <w:tcW w:w="11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(20,337)</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14,728</w:t>
            </w:r>
          </w:p>
        </w:tc>
      </w:tr>
      <w:tr>
        <w:trPr>
          <w:trHeight w:val="183"/>
        </w:trPr>
        <w:tc>
          <w:tcPr>
            <w:tcW w:w="11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5060" w:type="dxa"/>
            <w:vAlign w:val="bottom"/>
          </w:tcPr>
          <w:p>
            <w:pPr>
              <w:ind w:left="280"/>
              <w:spacing w:after="0" w:line="179" w:lineRule="exact"/>
              <w:rPr>
                <w:sz w:val="20"/>
                <w:szCs w:val="20"/>
                <w:color w:val="auto"/>
              </w:rPr>
            </w:pPr>
            <w:r>
              <w:rPr>
                <w:rFonts w:ascii="Arial" w:cs="Arial" w:eastAsia="Arial" w:hAnsi="Arial"/>
                <w:sz w:val="16"/>
                <w:szCs w:val="16"/>
                <w:color w:val="auto"/>
              </w:rPr>
              <w:t>Interest expense related to amortization of debt issuance costs and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1120" w:type="dxa"/>
            <w:vAlign w:val="bottom"/>
          </w:tcPr>
          <w:p>
            <w:pPr>
              <w:spacing w:after="0"/>
              <w:rPr>
                <w:sz w:val="17"/>
                <w:szCs w:val="17"/>
                <w:color w:val="auto"/>
              </w:rPr>
            </w:pPr>
          </w:p>
        </w:tc>
        <w:tc>
          <w:tcPr>
            <w:tcW w:w="5060" w:type="dxa"/>
            <w:vAlign w:val="bottom"/>
          </w:tcPr>
          <w:p>
            <w:pPr>
              <w:ind w:left="280"/>
              <w:spacing w:after="0"/>
              <w:rPr>
                <w:sz w:val="20"/>
                <w:szCs w:val="20"/>
                <w:color w:val="auto"/>
              </w:rPr>
            </w:pPr>
            <w:r>
              <w:rPr>
                <w:rFonts w:ascii="Arial" w:cs="Arial" w:eastAsia="Arial" w:hAnsi="Arial"/>
                <w:sz w:val="16"/>
                <w:szCs w:val="16"/>
                <w:color w:val="auto"/>
              </w:rPr>
              <w:t>discount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191"/>
        </w:trPr>
        <w:tc>
          <w:tcPr>
            <w:tcW w:w="1120" w:type="dxa"/>
            <w:vAlign w:val="bottom"/>
          </w:tcPr>
          <w:p>
            <w:pPr>
              <w:spacing w:after="0"/>
              <w:rPr>
                <w:sz w:val="16"/>
                <w:szCs w:val="16"/>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expense on principal</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191"/>
        </w:trPr>
        <w:tc>
          <w:tcPr>
            <w:tcW w:w="1120" w:type="dxa"/>
            <w:vAlign w:val="bottom"/>
          </w:tcPr>
          <w:p>
            <w:pPr>
              <w:spacing w:after="0"/>
              <w:rPr>
                <w:sz w:val="16"/>
                <w:szCs w:val="16"/>
                <w:color w:val="auto"/>
              </w:rPr>
            </w:pPr>
          </w:p>
        </w:tc>
        <w:tc>
          <w:tcPr>
            <w:tcW w:w="5060" w:type="dxa"/>
            <w:vAlign w:val="bottom"/>
          </w:tcPr>
          <w:p>
            <w:pPr>
              <w:ind w:left="280"/>
              <w:spacing w:after="0"/>
              <w:rPr>
                <w:sz w:val="20"/>
                <w:szCs w:val="20"/>
                <w:color w:val="auto"/>
              </w:rPr>
            </w:pPr>
            <w:r>
              <w:rPr>
                <w:rFonts w:ascii="Arial" w:cs="Arial" w:eastAsia="Arial" w:hAnsi="Arial"/>
                <w:sz w:val="16"/>
                <w:szCs w:val="16"/>
                <w:color w:val="auto"/>
              </w:rPr>
              <w:t>Fair value adjustment related to derivative and warrant liability</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(2,182)</w:t>
            </w:r>
          </w:p>
        </w:tc>
      </w:tr>
      <w:tr>
        <w:trPr>
          <w:trHeight w:val="191"/>
        </w:trPr>
        <w:tc>
          <w:tcPr>
            <w:tcW w:w="1120" w:type="dxa"/>
            <w:vAlign w:val="bottom"/>
          </w:tcPr>
          <w:p>
            <w:pPr>
              <w:spacing w:after="0"/>
              <w:rPr>
                <w:sz w:val="16"/>
                <w:szCs w:val="16"/>
                <w:color w:val="auto"/>
              </w:rPr>
            </w:pPr>
          </w:p>
        </w:tc>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other income, net</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183"/>
        </w:trPr>
        <w:tc>
          <w:tcPr>
            <w:tcW w:w="1120" w:type="dxa"/>
            <w:vAlign w:val="bottom"/>
          </w:tcPr>
          <w:p>
            <w:pPr>
              <w:spacing w:after="0"/>
              <w:rPr>
                <w:sz w:val="15"/>
                <w:szCs w:val="15"/>
                <w:color w:val="auto"/>
              </w:rPr>
            </w:pPr>
          </w:p>
        </w:tc>
        <w:tc>
          <w:tcPr>
            <w:tcW w:w="5060" w:type="dxa"/>
            <w:vAlign w:val="bottom"/>
          </w:tcPr>
          <w:p>
            <w:pPr>
              <w:ind w:left="580"/>
              <w:spacing w:after="0"/>
              <w:rPr>
                <w:sz w:val="20"/>
                <w:szCs w:val="20"/>
                <w:color w:val="auto"/>
              </w:rPr>
            </w:pPr>
            <w:r>
              <w:rPr>
                <w:rFonts w:ascii="Arial" w:cs="Arial" w:eastAsia="Arial" w:hAnsi="Arial"/>
                <w:sz w:val="16"/>
                <w:szCs w:val="16"/>
                <w:color w:val="auto"/>
              </w:rPr>
              <w:t>Total other (expense) income</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w:t>
            </w:r>
          </w:p>
        </w:tc>
      </w:tr>
      <w:tr>
        <w:trPr>
          <w:trHeight w:val="183"/>
        </w:trPr>
        <w:tc>
          <w:tcPr>
            <w:tcW w:w="11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11,750</w:t>
            </w:r>
          </w:p>
        </w:tc>
      </w:tr>
      <w:tr>
        <w:trPr>
          <w:trHeight w:val="191"/>
        </w:trPr>
        <w:tc>
          <w:tcPr>
            <w:tcW w:w="11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Income tax benefit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11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11,762</w:t>
            </w:r>
          </w:p>
        </w:tc>
      </w:tr>
      <w:tr>
        <w:trPr>
          <w:trHeight w:val="20"/>
        </w:trPr>
        <w:tc>
          <w:tcPr>
            <w:tcW w:w="11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Net loss for the year ended December 31, 2020 was $12.8 million, a decrease of $11.8 million compared to net loss for the year ended December 31, 2019 of $24.5 million. The decrease was primarily attributable to a decrease in loss from operations of $14.7 million, partially offset by a change in non-cash fair value adjustment from income of $2.0 million in 2019 to expense of $0.2 million in 2020, related to changes to the derivative and warrant liability, and an increase in net interest expense and other items of $0.8 million.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Revenue increased by $0.4 million, from $12.8 million for the year ended December 31, 2019, to $13.3 million for the year ended December 31, 2020. This increase was primarily attributable to an increase in consulting revenue of $5.3 million, primarily related to the Corium Consulting Agreement, and an increase in reimbursement revenue of $0.2 million, partially offset by a decrease in licensing and milestone revenue of $5.0 million, due to the one-time non-refundable upfront payment of $10.0 million received in 2019 compared to, the $5.0 million payment received related to the regulatory milestone in 2020 both pursuant to the KP415 License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Royalties and Contract Costs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Royalties and contract costs decreased by $1.6 million, from $2.9 million for the year ended December 31, 2019, to $1.3 million for the year ended December 31, 2020. This decrease was primarily attributable to a decrease in royalties due to Aquestive of $0.5 million related to the upfront and milestone payments we received in 2019 and 2020 discussed above and a decrease in the amortization of capitalized contract costs which were directly attributable to the revenue recognized of $1.1 million.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expenses decreased by $10.6 million, from $19.4 million for the year ended December 31, 2019, to $8.8 million for the year ended December 31, 2020. This decrease was primarily attributable to a decrease in net third-party research and development costs.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expenses decreased by $2.9 million, from $10.8 million for the year ended December 31, 2019, to $7.9 million for the year ended December 31, 2020. This decrease was primarily attributable to a decrease in professional fees and personnel-related costs.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Severance Expense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Severance expense of $0.8 million was recognized for the year ended December 31, 2020 due to the termination of our chief business officer in February 2020. Severance expense is comprised of $0.4 million of personnel and other related charges and $0.4 million of stock compensation expense related to the acceleration of vesting on certain stock options upon employee termination. We had no severance expense for the year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Income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expenses increased by $3.0 million, from $4.2 million for the year ended December 31, 2019, to $7.2 million for the year ended December 31, 2020. This period-to-period increase in expense was primarily attributable to a change in non-cash fair value adjustment from income of $2.0 million in 2019 to expense of $0.2 million in 2020 related to our derivative and warrant liability and an increase in net interest expense and other items of $0.8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i w:val="1"/>
          <w:iCs w:val="1"/>
          <w:color w:val="auto"/>
        </w:rPr>
        <w:t>Comparison for Years Ended December 31, 2019 and 2018</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a discussion and analysis of changes in financial condition and results of operations for the year ended December 31, 2019 as compared to the year ended December 31, 2018, refer to our Annual Report on Form 10-K for the fiscal year ended December 31, 2019, filed with the SEC on February 28, 2020.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Through December 31, 2020,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As of December 31, 2020, we had cash and cash equivalents of $4.2 million and restricted cash of $0.1 million.</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In February 2019, we entered into a purchase agreement for an equity line of credit, or the 2019 ELOC Agreement, with Lincoln Park, which provided that, upon the terms and subject to the conditions and limitations set forth therein, we may sell to Lincoln Park up to $15.0 million of shares of our common stock, from time to time over the 36-month term of the 2019 ELOC Agreement, and upon execution of the 2019 ELOC Agreement we issued an additional 7,512 shares of our common stock to Lincoln Park as commitment shares in accordance with the closing conditions contained within the 2019 ELOC Agreement. In February 2020, upon entering into a new purchase agreement for an equity line of credit, or the 2020 ELOC Agreement, with Lincoln Park, we terminated the 2019 ELOC Agreement. As a result, we will not make any future sales under the 2019 ELOC Agreement. Through the date of termination, we sold 212,579 shares of our common stock (exclusive of the 7,512 commitment shares) to Lincoln Park under the 2019 ELOC Agreement for approximately $5.4 million in gross proceeds.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2019, we entered into the KP415 License Agreement with Commave and Commave paid us a non-refundable upfront payment of $10.0 million. In May 2020, the FDA accepted our NDA for AZSTARYS. Per the KP415 License Agreement, we received a regulatory milestone payment of $5.0 million following the FDA’s acceptance of the AZSTARYS NDA. 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5" w:name="page96"/>
    <w:bookmarkEnd w:id="95"/>
    <w:p>
      <w:pPr>
        <w:jc w:val="both"/>
        <w:spacing w:after="0" w:line="297" w:lineRule="auto"/>
        <w:rPr>
          <w:sz w:val="20"/>
          <w:szCs w:val="20"/>
          <w:color w:val="auto"/>
        </w:rPr>
      </w:pPr>
      <w:r>
        <w:rPr>
          <w:rFonts w:ascii="Arial" w:cs="Arial" w:eastAsia="Arial" w:hAnsi="Arial"/>
          <w:sz w:val="14"/>
          <w:szCs w:val="14"/>
          <w:color w:val="auto"/>
        </w:rPr>
        <w:t>In February 2020, we entered into the 2020 ELOC Agreement, with Lincoln Park, which provided that, upon the terms and subject to the conditions and limitations set forth therein, we may sell to Lincoln Park up to $4.0 million of shares of our common stock, from time to time over the 12-month term of the 2020 ELOC Agreement, and upon execution of the 2020 ELOC Agreement we issued an additional 19,289 shares of our common stock to Lincoln Park as commitment shares in accordance with the closing conditions contained within the 2020 ELOC Agreement. In May 2020, we reached the maximum allowable shares to be issued under the Current Registration Statement of 579,260 shares and therefore we cannot issue additional shares under the 2020 ELOC Agreement. As of December 31, 2020, we have sold 559,971 shares of common stock (exclusive of the 19,289 commitment shares previously issued to Lincoln Park) under the 2020 ELOC Agreement for approximately $2.3 million in gross proceeds.</w:t>
      </w:r>
    </w:p>
    <w:p>
      <w:pPr>
        <w:spacing w:after="0" w:line="14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We have had recurring negative operating cash flows and, as of December 31, 2020, had an accumulated deficit of $258.5 million. We anticipate that we will continue to incur minimal positive net cash flows from operations or negative net cash flows from operations for at least the next several years. We expect that our sources of revenue will be through payments arising from our license agreements with Commave and KVK, or through our Corium Consulting Agreement, and other potential consulting arrangements and any other future arrangements related to one of our other product candidates.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January 2021, we entered into the Inducement Letters. We received aggregate gross proceeds of $44.0 million from the exercise of the Existing Warrants by the Exercising Holders and the sale of the Inducement Warrants.</w:t>
      </w:r>
    </w:p>
    <w:p>
      <w:pPr>
        <w:spacing w:after="0" w:line="15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On April 23, 2020, we received proceeds of $0.8 million from a loan, or the PPP Loan, under the Paycheck Protection Program, or the PPP, of the recently enacted Coronavirus Aid, Relief, and Economic Security Act, or the CARES Act, a portion of which may be forgiven, which we used to retain current employees, maintain payroll and make lease and utility payments. The PPP Loan matures on April 23, 2022 and bears annual interest at a rate of 1.0%. Payments of principal and interest on the PPP Loan are deferred for the first 16 months of the PPP Loan term. Thereafter, we could be required to pay the lender equal monthly payments of principal and interest.</w:t>
      </w:r>
    </w:p>
    <w:p>
      <w:pPr>
        <w:spacing w:after="0" w:line="15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CARES Act and the PPP provide a mechanism for forgiveness of up to the full amount borrowed. Under the PPP, we may apply for and be granted forgiveness for all or part of the PPP Loan. The amount of loan proceeds eligible for forgiveness was originally based on a formula that takes into account a number of factors, including the amount of loan proceeds used by us during the 24-week period after the loan origination for certain purposes, including payroll costs, interest on certain mortgage obligations, rent payments on certain leases, and certain qualified utility payments, provided that at least 60% of the loan amount was used for eligible payroll costs. Subject to the other requirements and limitations on loan forgiveness, only loan proceeds spent on payroll and other eligible costs during the covered 24-week period qualify for forgiveness. We have applied for forgiveness under the provisions of the PPP loan and are awaiting a decision by the SBA.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i w:val="1"/>
          <w:iCs w:val="1"/>
          <w:color w:val="auto"/>
        </w:rPr>
        <w:t>Convertible Debt</w:t>
      </w:r>
    </w:p>
    <w:p>
      <w:pPr>
        <w:spacing w:after="0" w:line="198"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As of December 31, 2020, we had $68.2 million of convertible notes outstanding, consisting of senior secured convertible promissory notes issued, under the Deerfield Facility Agreement with Deerfield. Subsequent to December 31, 2020, we repaid in full the convertible notes and terminated the Deerfield Facility Agreement.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Deerfield Facility Agreement</w:t>
      </w:r>
    </w:p>
    <w:p>
      <w:pPr>
        <w:spacing w:after="0" w:line="198"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29"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the $3,333,333 of the principal amount then due, plus $168,288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16,025 shares of our common stock.</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issued to Deerfield the Deerfield Warrant to purchase 14,423,076 shares of our Series D Preferred at an initial exercise price of $0.78 per share, or the Deerfield Warrant. Upon closing of our initial public offering, this warrant converted into a warrant exercisable for 120,192 shares of our common stock at an exercise price of $93.60 per share.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7" w:name="page98"/>
    <w:bookmarkEnd w:id="97"/>
    <w:p>
      <w:pPr>
        <w:spacing w:after="0"/>
        <w:rPr>
          <w:sz w:val="20"/>
          <w:szCs w:val="20"/>
          <w:color w:val="auto"/>
        </w:rPr>
      </w:pPr>
      <w:r>
        <w:rPr>
          <w:rFonts w:ascii="Arial" w:cs="Arial" w:eastAsia="Arial" w:hAnsi="Arial"/>
          <w:sz w:val="16"/>
          <w:szCs w:val="16"/>
          <w:i w:val="1"/>
          <w:iCs w:val="1"/>
          <w:u w:val="single" w:color="auto"/>
          <w:color w:val="auto"/>
        </w:rPr>
        <w:t>2021 Notes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2021 Notes were issued pursuant to an indenture, dated as of February 9, 2016, or the indenture, between us and U.S. Bank National Association, as trustee. Interest on the 2021 Notes was payable semi-annually in cash in arrears on February 1 and August 1 of each year, beginning on August 1, 2016, at a rate of 5.50% per year. The 2021 Notes originally matured on February 1, 2021 unless earlier converted or repurchased.</w:t>
      </w:r>
    </w:p>
    <w:p>
      <w:pPr>
        <w:spacing w:after="0" w:line="162"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As described in more detail below, 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2021 Note Exchanges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2021 Note Exchange Effected in October 2018</w:t>
      </w:r>
    </w:p>
    <w:p>
      <w:pPr>
        <w:spacing w:after="0" w:line="198" w:lineRule="exact"/>
        <w:rPr>
          <w:sz w:val="20"/>
          <w:szCs w:val="20"/>
          <w:color w:val="auto"/>
        </w:rPr>
      </w:pPr>
    </w:p>
    <w:p>
      <w:pPr>
        <w:jc w:val="both"/>
        <w:ind w:left="140"/>
        <w:spacing w:after="0" w:line="262" w:lineRule="auto"/>
        <w:rPr>
          <w:sz w:val="20"/>
          <w:szCs w:val="20"/>
          <w:color w:val="auto"/>
        </w:rPr>
      </w:pPr>
      <w:r>
        <w:rPr>
          <w:rFonts w:ascii="Arial" w:cs="Arial" w:eastAsia="Arial" w:hAnsi="Arial"/>
          <w:sz w:val="16"/>
          <w:szCs w:val="16"/>
          <w:color w:val="auto"/>
        </w:rPr>
        <w:t>In October 2018, we entered into an exchange agreement, or the October 2018 Exchange Agreement, with the Deerfield Lenders. Under the October 2018 Exchange Agreement, the Deerfield Lenders exchanged an aggregate of $9,577,000 principal amount of our 2021 Notes for an aggregate of 9,577 shares of our Series A Convertible Preferred Stock, par value $0.0001, or the Series A Preferred Stock.</w:t>
      </w:r>
    </w:p>
    <w:p>
      <w:pPr>
        <w:spacing w:after="0" w:line="162" w:lineRule="exact"/>
        <w:rPr>
          <w:sz w:val="20"/>
          <w:szCs w:val="20"/>
          <w:color w:val="auto"/>
        </w:rPr>
      </w:pPr>
    </w:p>
    <w:p>
      <w:pPr>
        <w:jc w:val="both"/>
        <w:ind w:left="140"/>
        <w:spacing w:after="0" w:line="262" w:lineRule="auto"/>
        <w:rPr>
          <w:sz w:val="20"/>
          <w:szCs w:val="20"/>
          <w:color w:val="auto"/>
        </w:rPr>
      </w:pPr>
      <w:r>
        <w:rPr>
          <w:rFonts w:ascii="Arial" w:cs="Arial" w:eastAsia="Arial" w:hAnsi="Arial"/>
          <w:sz w:val="16"/>
          <w:szCs w:val="16"/>
          <w:color w:val="auto"/>
        </w:rPr>
        <w:t>As a condition to closing of the October 2018 Exchange Agreement, we filed a Certificate of Designation of Preferences, Rights and Limitations of Series A Convertible Preferred Stock, or the Series A Certificate of Designation, with the Secretary of State of the State Delaware, setting forth the preferences, rights and limitations of the Series A Preferred Stock.</w:t>
      </w:r>
    </w:p>
    <w:p>
      <w:pPr>
        <w:spacing w:after="0" w:line="162" w:lineRule="exact"/>
        <w:rPr>
          <w:sz w:val="20"/>
          <w:szCs w:val="20"/>
          <w:color w:val="auto"/>
        </w:rPr>
      </w:pPr>
    </w:p>
    <w:p>
      <w:pPr>
        <w:jc w:val="both"/>
        <w:ind w:left="140"/>
        <w:spacing w:after="0" w:line="280" w:lineRule="auto"/>
        <w:rPr>
          <w:sz w:val="20"/>
          <w:szCs w:val="20"/>
          <w:color w:val="auto"/>
        </w:rPr>
      </w:pPr>
      <w:r>
        <w:rPr>
          <w:rFonts w:ascii="Arial" w:cs="Arial" w:eastAsia="Arial" w:hAnsi="Arial"/>
          <w:sz w:val="15"/>
          <w:szCs w:val="15"/>
          <w:color w:val="auto"/>
        </w:rPr>
        <w:t>Each share of Series A Preferred Stock has an aggregate stated value of $1,000 and is convertible into shares of our common stock at a price equal to $48.00 per share (subject to adjustment to reflect stock splits and similar events). Immediately following the exchange under the October 2018 Exchange Agreement, an aggregate of 3,192,333 shares of common stock were issuable upon conversion of the Series A Preferred Stock. As of December 31, 2020, all 9,577 shares of Series A Preferred Stock issued under the October 2018 Exchange Agreement have been converted into an aggregate 199,519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98" w:name="page99"/>
    <w:bookmarkEnd w:id="98"/>
    <w:p>
      <w:pPr>
        <w:ind w:left="1"/>
        <w:spacing w:after="0"/>
        <w:rPr>
          <w:sz w:val="20"/>
          <w:szCs w:val="20"/>
          <w:color w:val="auto"/>
        </w:rPr>
      </w:pPr>
      <w:r>
        <w:rPr>
          <w:rFonts w:ascii="Arial" w:cs="Arial" w:eastAsia="Arial" w:hAnsi="Arial"/>
          <w:sz w:val="16"/>
          <w:szCs w:val="16"/>
          <w:u w:val="single" w:color="auto"/>
          <w:color w:val="auto"/>
        </w:rPr>
        <w:t>2021 Note Exchange Effected in September 2019</w:t>
      </w:r>
    </w:p>
    <w:p>
      <w:pPr>
        <w:spacing w:after="0" w:line="198" w:lineRule="exact"/>
        <w:rPr>
          <w:sz w:val="20"/>
          <w:szCs w:val="20"/>
          <w:color w:val="auto"/>
        </w:rPr>
      </w:pPr>
    </w:p>
    <w:p>
      <w:pPr>
        <w:jc w:val="both"/>
        <w:ind w:left="1"/>
        <w:spacing w:after="0" w:line="291" w:lineRule="auto"/>
        <w:rPr>
          <w:sz w:val="20"/>
          <w:szCs w:val="20"/>
          <w:color w:val="auto"/>
        </w:rPr>
      </w:pPr>
      <w:r>
        <w:rPr>
          <w:rFonts w:ascii="Arial" w:cs="Arial" w:eastAsia="Arial" w:hAnsi="Arial"/>
          <w:sz w:val="14"/>
          <w:szCs w:val="14"/>
          <w:color w:val="auto"/>
        </w:rPr>
        <w:t>In September 2019, we entered into an Exchange Agreement and Amendment to Facility Agreement, or the September 2019 Exchange Agreement with the Deerfield Lenders. Under the September 2019 Exchange Agreement, we issued an aggregate of 493,742 shares of our common stock and an aggregate of 1,576 shares of our Series B-1 Convertible Preferred Stock, par value $0.0001 per share, or the Series B-1 Preferred Stock</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(such shares of common stock and Series B-1 Preferred Stock, the Initial Exchange Shares), in exchange for the cancellation of an aggregate of $3,000,000 principal amount of the 2021 Notes. The September 2019 Exchange Agreement provided the Deerfield Lenders the option to exchange up to an additional aggregate of $27,000,000 principal amount of the 2021 Notes, or the Optional Exchange Principal Amount, for shares of common stock or shares of our Series B-2 Convertible Preferred Stock, par value $0.0001 per share, or the Series B-2 Preferred Stock</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and, together with the Series B-1 Preferred Stock, the Series B Preferred Stock, subject to the terms and conditions set forth in the September 2019 Exchange Agreement, including limits as to the principal amount that can be exchanged prior to specified dates therein. If the Deerfield Lenders choose to exchange any portion of the Optional Exchange Principal Amount for shares of Series B-2 Preferred Stock, such exchange will be effected at an exchange price of $1,000 per share. If the Deerfield Lenders choose to exchange any portion of the Optional Exchange Principal Amount for shares of common stock, such exchange will be effected at an exchange price equal to the greater of (i) $15.1904 or (ii) the average of the volume-weighted average price of the common stock on each of the 15 trading days immediately preceding such exchange.</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5"/>
          <w:szCs w:val="15"/>
          <w:color w:val="auto"/>
        </w:rPr>
        <w:t>As a condition to closing of the September 2019 Exchange Agreement, we filed a Certificate of Designation of Preferences, Rights and Limitations of Series B-</w:t>
      </w:r>
    </w:p>
    <w:p>
      <w:pPr>
        <w:spacing w:after="0" w:line="26"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12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10980" w:type="dxa"/>
            <w:vAlign w:val="bottom"/>
          </w:tcPr>
          <w:p>
            <w:pPr>
              <w:jc w:val="right"/>
              <w:spacing w:after="0"/>
              <w:rPr>
                <w:sz w:val="20"/>
                <w:szCs w:val="20"/>
                <w:color w:val="auto"/>
              </w:rPr>
            </w:pPr>
            <w:r>
              <w:rPr>
                <w:rFonts w:ascii="Arial" w:cs="Arial" w:eastAsia="Arial" w:hAnsi="Arial"/>
                <w:sz w:val="16"/>
                <w:szCs w:val="16"/>
                <w:color w:val="auto"/>
                <w:w w:val="99"/>
              </w:rPr>
              <w:t>Convertible Preferred Stock, or the Series B-1 Certificate of Designation</w:t>
            </w:r>
            <w:r>
              <w:rPr>
                <w:rFonts w:ascii="Arial" w:cs="Arial" w:eastAsia="Arial" w:hAnsi="Arial"/>
                <w:sz w:val="16"/>
                <w:szCs w:val="16"/>
                <w:b w:val="1"/>
                <w:bCs w:val="1"/>
                <w:i w:val="1"/>
                <w:iCs w:val="1"/>
                <w:color w:val="auto"/>
                <w:w w:val="99"/>
              </w:rPr>
              <w:t>,</w:t>
            </w:r>
            <w:r>
              <w:rPr>
                <w:rFonts w:ascii="Arial" w:cs="Arial" w:eastAsia="Arial" w:hAnsi="Arial"/>
                <w:sz w:val="16"/>
                <w:szCs w:val="16"/>
                <w:color w:val="auto"/>
                <w:w w:val="99"/>
              </w:rPr>
              <w:t xml:space="preserve"> and a Certificate of Designation of Preferences, Rights and Limitations of Series B-</w:t>
            </w:r>
          </w:p>
        </w:tc>
      </w:tr>
      <w:tr>
        <w:trPr>
          <w:trHeight w:val="204"/>
        </w:trPr>
        <w:tc>
          <w:tcPr>
            <w:tcW w:w="120" w:type="dxa"/>
            <w:vAlign w:val="bottom"/>
          </w:tcPr>
          <w:p>
            <w:pPr>
              <w:jc w:val="right"/>
              <w:spacing w:after="0"/>
              <w:rPr>
                <w:sz w:val="20"/>
                <w:szCs w:val="20"/>
                <w:color w:val="auto"/>
              </w:rPr>
            </w:pPr>
            <w:r>
              <w:rPr>
                <w:rFonts w:ascii="Arial" w:cs="Arial" w:eastAsia="Arial" w:hAnsi="Arial"/>
                <w:sz w:val="15"/>
                <w:szCs w:val="15"/>
                <w:color w:val="auto"/>
                <w:w w:val="71"/>
              </w:rPr>
              <w:t>2</w:t>
            </w:r>
          </w:p>
        </w:tc>
        <w:tc>
          <w:tcPr>
            <w:tcW w:w="10980" w:type="dxa"/>
            <w:vAlign w:val="bottom"/>
          </w:tcPr>
          <w:p>
            <w:pPr>
              <w:jc w:val="right"/>
              <w:spacing w:after="0"/>
              <w:rPr>
                <w:sz w:val="20"/>
                <w:szCs w:val="20"/>
                <w:color w:val="auto"/>
              </w:rPr>
            </w:pPr>
            <w:r>
              <w:rPr>
                <w:rFonts w:ascii="Arial" w:cs="Arial" w:eastAsia="Arial" w:hAnsi="Arial"/>
                <w:sz w:val="16"/>
                <w:szCs w:val="16"/>
                <w:color w:val="auto"/>
                <w:w w:val="95"/>
              </w:rPr>
              <w:t>Convertible Preferred Stock, or the Series B-2 Certificate of Designation</w:t>
            </w:r>
            <w:r>
              <w:rPr>
                <w:rFonts w:ascii="Arial" w:cs="Arial" w:eastAsia="Arial" w:hAnsi="Arial"/>
                <w:sz w:val="16"/>
                <w:szCs w:val="16"/>
                <w:b w:val="1"/>
                <w:bCs w:val="1"/>
                <w:i w:val="1"/>
                <w:iCs w:val="1"/>
                <w:color w:val="auto"/>
                <w:w w:val="95"/>
              </w:rPr>
              <w:t>,</w:t>
            </w:r>
            <w:r>
              <w:rPr>
                <w:rFonts w:ascii="Arial" w:cs="Arial" w:eastAsia="Arial" w:hAnsi="Arial"/>
                <w:sz w:val="16"/>
                <w:szCs w:val="16"/>
                <w:color w:val="auto"/>
                <w:w w:val="95"/>
              </w:rPr>
              <w:t xml:space="preserve"> with the Secretary of State of the State Delaware, setting forth the preferences, rights and</w:t>
            </w:r>
          </w:p>
        </w:tc>
      </w:tr>
    </w:tbl>
    <w:p>
      <w:pPr>
        <w:ind w:left="1"/>
        <w:spacing w:after="0"/>
        <w:rPr>
          <w:sz w:val="20"/>
          <w:szCs w:val="20"/>
          <w:color w:val="auto"/>
        </w:rPr>
      </w:pPr>
      <w:r>
        <w:rPr>
          <w:rFonts w:ascii="Arial" w:cs="Arial" w:eastAsia="Arial" w:hAnsi="Arial"/>
          <w:sz w:val="16"/>
          <w:szCs w:val="16"/>
          <w:color w:val="auto"/>
        </w:rPr>
        <w:t>limitations of the Series B-1 Preferred Stock and the Series B-2 Preferred Stock, respectively.</w:t>
      </w:r>
    </w:p>
    <w:p>
      <w:pPr>
        <w:spacing w:after="0" w:line="186" w:lineRule="exact"/>
        <w:rPr>
          <w:sz w:val="20"/>
          <w:szCs w:val="20"/>
          <w:color w:val="auto"/>
        </w:rPr>
      </w:pPr>
    </w:p>
    <w:p>
      <w:pPr>
        <w:jc w:val="both"/>
        <w:ind w:left="1" w:right="20"/>
        <w:spacing w:after="0" w:line="289" w:lineRule="auto"/>
        <w:rPr>
          <w:sz w:val="20"/>
          <w:szCs w:val="20"/>
          <w:color w:val="auto"/>
        </w:rPr>
      </w:pPr>
      <w:r>
        <w:rPr>
          <w:rFonts w:ascii="Arial" w:cs="Arial" w:eastAsia="Arial" w:hAnsi="Arial"/>
          <w:sz w:val="14"/>
          <w:szCs w:val="14"/>
          <w:color w:val="auto"/>
        </w:rPr>
        <w:t>Each share of Series B-1 Preferred Stock has an aggregate stated value of $1,000 and is convertible into shares of common stock at a per share price equal to $15.1904 per share (subject to adjustment to reflect stock splits and similar events). There was an aggregate of 103,749 shares of common stock issuable upon conversion of the Series B-1 Preferred Stock (without giving effect to the limitation on conversion described below). Each share of Series B-2 Preferred Stock has an aggregate stated value of $1,000 and is convertible into shares of common stock at a per share price equal to the greater of (i) $15.1904 (subject to adjustment to reflect stock splits and similar events), or</w:t>
      </w:r>
    </w:p>
    <w:p>
      <w:pPr>
        <w:spacing w:after="0" w:line="2" w:lineRule="exact"/>
        <w:rPr>
          <w:sz w:val="20"/>
          <w:szCs w:val="20"/>
          <w:color w:val="auto"/>
        </w:rPr>
      </w:pPr>
    </w:p>
    <w:p>
      <w:pPr>
        <w:jc w:val="both"/>
        <w:ind w:left="1" w:hanging="1"/>
        <w:spacing w:after="0" w:line="252" w:lineRule="auto"/>
        <w:tabs>
          <w:tab w:leader="none" w:pos="2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average of the volume-weighted average prices of the common stock on each of the 15 trading days immediately preceding such exchange. Immediately following the exchange under the September 2019 Exchange Agreement, there was an aggregate of 1,777,437 shares of Common Stock issuable (i) in exchange of the Optional Exchange Principal Amount, or (ii) upon conversion of the Series B-2 Preferred Stock issuable in exchange of the Optional Exchange Principal Amount (in each case without giving effect to the limitation on conversion described below).</w:t>
      </w:r>
    </w:p>
    <w:p>
      <w:pPr>
        <w:spacing w:after="0" w:line="171" w:lineRule="exact"/>
        <w:rPr>
          <w:sz w:val="20"/>
          <w:szCs w:val="20"/>
          <w:color w:val="auto"/>
        </w:rPr>
      </w:pPr>
    </w:p>
    <w:p>
      <w:pPr>
        <w:jc w:val="both"/>
        <w:ind w:left="1"/>
        <w:spacing w:after="0" w:line="269" w:lineRule="auto"/>
        <w:rPr>
          <w:sz w:val="20"/>
          <w:szCs w:val="20"/>
          <w:color w:val="auto"/>
        </w:rPr>
      </w:pPr>
      <w:r>
        <w:rPr>
          <w:rFonts w:ascii="Arial" w:cs="Arial" w:eastAsia="Arial" w:hAnsi="Arial"/>
          <w:sz w:val="15"/>
          <w:szCs w:val="15"/>
          <w:color w:val="auto"/>
        </w:rPr>
        <w:t>The Series B Preferred Stock is convertible at any time at the option of the Deerfield Lenders; provided that the Deerfield Lenders are prohibited from converting shares of Series B Preferred Stock into shares of common stock if, as a result of such conversion, such holders (together with certain affiliates and “group” members of such holders) would beneficially own more than 4.985% of the total number of shares of common stock then issued and outstanding. The Series B Preferred Stock is not redeemable. In the event of our liquidation, dissolution or winding up, the Deerfield Lenders will receive an amount equal to $0.0001 per share, plus any declared but unpaid dividends, and thereafter will share ratably in any distribution of our assets with holders of common stock and with the holders of any shares of any other class or series of capital stock of us entitled to share in such remaining assets of us (including our Series A Preferred Stock on an as-converted basis. With respect to rights upon liquidation, the Series B Preferred Stock ranks senior to the common stock, on parity with the Series A Preferred Stock, if any is outstanding, and junior to existing and future indebtedness. Except as otherwise required by law (or with respect to approval of certain actions involving our organizational documents that materially and adversely affect the holders of Series B Preferred Stock), the Series B Preferred Stock does not have voting rights. The Series B Preferred Stock is not subject to any price-based anti-dilution protections and does not provide for any accruing dividends, but provides that holders of Series B Preferred Stock will participate in any dividends on the common stock on an as-converted basis (without giving effect to the limitation on conversion described above). The Series B-1 Certificate of Designation and the Series B-2 Certificate of Designation also provide for partial liquidated damages in the event that we fail to timely convert shares of Series B-1 Preferred Stock or Series B-2 Preferred Stock, respectively, into common stock in accordance with the applicable Certificate of Designation.</w:t>
      </w:r>
    </w:p>
    <w:p>
      <w:pPr>
        <w:spacing w:after="0" w:line="164" w:lineRule="exact"/>
        <w:rPr>
          <w:sz w:val="20"/>
          <w:szCs w:val="20"/>
          <w:color w:val="auto"/>
        </w:rPr>
      </w:pPr>
    </w:p>
    <w:p>
      <w:pPr>
        <w:jc w:val="both"/>
        <w:ind w:left="1"/>
        <w:spacing w:after="0" w:line="275" w:lineRule="auto"/>
        <w:rPr>
          <w:sz w:val="20"/>
          <w:szCs w:val="20"/>
          <w:color w:val="auto"/>
        </w:rPr>
      </w:pPr>
      <w:r>
        <w:rPr>
          <w:rFonts w:ascii="Arial" w:cs="Arial" w:eastAsia="Arial" w:hAnsi="Arial"/>
          <w:sz w:val="16"/>
          <w:szCs w:val="16"/>
          <w:color w:val="auto"/>
        </w:rPr>
        <w:t>As of December 31, 2020, all 1,576 shares of Series B-1 Preferred Stock have been converted into 103,749 shares of common stock, and there were no shares of Series B-2 Preferred Stock outstanding.</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73025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1"/>
          </w:cols>
          <w:pgMar w:left="459" w:top="533" w:right="3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auto"/>
        </w:rPr>
        <w:t>2021 Note Exchange Effected in December 2019</w:t>
      </w:r>
    </w:p>
    <w:p>
      <w:pPr>
        <w:spacing w:after="0" w:line="198"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In December 2019, we entered into the December 2019 Exchange Agreement and Amendment to Facility Agreement, Senior Secured Convertible Notes and Warrants, or the December 2019 Exchange Agreement, with the Deerfield Lenders and Delaware Street Capital Master Fund, L.P., or DSC and, collectively with the Deerfield Lenders, the December 2019 Holders. Under the December 2019 Exchange Agreement, we issued the December 2019 Notes as senior secured convertible promissory notes under the Deerfield Facility Agreement in the aggregate principal amount of $71,418,011 in exchange for the cancellation of an aggregate of $71,418,011 principal amount and accrued interest of the 2021 Notes. Upon entering into the December 2019 Exchange Agreement, we agreed to pay the December 2019 Holders, in the aggregate, an interest payment of $745,011, which represents 50% of the accrued interest, as of December 18, 2019, on the 2021 Notes owned by the December 2019 Holders. The remainder of such interest was included in the principal amount of the December 2019 Notes.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December 2019 Notes bear interest at 6.75% per annum. The December 2019 Notes were originally convertible into shares of our common stock at an initial conversion price of $17.11 per share (which represents the conversion price of the 2021 Notes), subject to adjustment in accordance with the terms of the December 2019 Notes. As of the date of issuance, the December 2019 Notes were convertible, by their terms, into an aggregate of 260,876 shares of our common stock. We subsequently amended the December 2019 Notes to provide that such notes shall be convertible into shares of our common stock at a conversion price of $93.60 per share (which represents the conversion price of the Deerfield Convertible Note). The conversion price of the December 2019 Notes will be adjusted downward if we issue or sell any shares of common stock, convertible securities, warrants or options at a sale or exercise price per share less than the greater of the December 2019 Notes’ conversion price or the closing sale price of our common stock on the last trading date immediately prior to such issuance, or, in the case of a firm commitment underwritten offering, on the date of execution of the underwriting agreement between us and the underwriters for such offering. However, if we effect an “at the market offering” as defined in Rule 415 of the Securities Act, of our common stock, the conversion price of the December 2019 Notes will be adjusted downward pursuant to this anti-dilution adjustment only if such sales are made at a price less than $93.60 per share, provided that this anti-dilution adjustment will not apply to certain specified sales. Notwithstanding anything in the contrary in the December 2019 Notes, the anti-dilution adjustment of such notes shall not result in the conversion price of the December 2019 Notes being less than $0.583 per share. The December 2019 Notes are convertible at any time at the option of the holders thereof, provided that a holder of a December 2019 Note is prohibited from converting such note into shares of our common stock if, as a result of such conversion, such holder (together with certain affiliates and “group” members) would beneficially own more than 4.985% of the total number of shares of common stock then issued and outstanding. However, the December 2019 Note issued to DSC, due to the fact DSC was a beneficial owner of more than 4.985% of the total number of shares of our common stock then issued and outstanding, has a beneficial ownership cap equal to 19.985% of the total number of shares of our common stock then issued and outstanding. Pursuant to the December 2019 Notes, the December 2019 Holders have the option to demand repayment of all outstanding principal, and any unpaid interest accrued thereon, in connection with a Major Transaction (as defined in the December 2019 Notes), which shall include, among others, any acquisition or other change of control of the company; our liquidation, bankruptcy or other dissolution; or if at any time after March 31, 2021, shares of our common stock are not listed on an Eligible Market (as defined in the December 2019 Notes). The December 2019 Notes are subject to specified events of default, the occurrence of which would entitle the December 2019 Holders to immediately demand repayment of all outstanding principal and accrued interest on the December 2019 Notes. Such events of default include, among others, failure to make any payment under the December 2019 Notes when due, failure to observe or perform any covenant under the Deerfield Facility Agreement or the other transaction documents related thereto (subject to a standard cure period), our failure to be able to pay debts as they come due, the commencement of bankruptcy or insolvency proceedings against us, a material judgement levied against us and a material default by us under the Deerfield Warrant, the December 2019 Notes or the Deerfield Convertible Note.</w:t>
      </w:r>
    </w:p>
    <w:p>
      <w:pPr>
        <w:spacing w:after="0" w:line="3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December 2019 Exchange Agreement amends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and December 2019 Notes until March 31, 2021 (which such interest shall accrue as ”payment-in-kind” interest), (iv) designate DSC as a Lender (as defined in the Deerfield Facility Agreement), (v) name Deerfield as the “Collateral Agent” for all Lenders and (vi) modify the terms and conditions under which we may issue additional pari passu and subordinated indebtedness under the Deerfield Facility Agreement (subject to certain conditions specified in the Deerfield Facility Agreement).</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December 2019 Exchange Agreement also amends and restates that the Deerfield Convertible Note to conform the definitions of “Eligible Market” and “Major Transactions” to the definition in the December 2019 Notes, to remove provisions that were only applicable prior to our initial public offering and to make certain other changes to conform to the December 2019 Notes. The conversion price for the Deerfield Convertible Note remains $93.60 per share, subject to adjustment on the same basis as the December 2019 Notes.</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73025</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460" w:top="533" w:right="319" w:bottom="1440" w:gutter="0" w:footer="0" w:header="0"/>
        </w:sectPr>
      </w:pPr>
    </w:p>
    <w:bookmarkStart w:id="100" w:name="page101"/>
    <w:bookmarkEnd w:id="100"/>
    <w:p>
      <w:pPr>
        <w:jc w:val="both"/>
        <w:ind w:right="20"/>
        <w:spacing w:after="0" w:line="275" w:lineRule="auto"/>
        <w:rPr>
          <w:sz w:val="20"/>
          <w:szCs w:val="20"/>
          <w:color w:val="auto"/>
        </w:rPr>
      </w:pPr>
      <w:r>
        <w:rPr>
          <w:rFonts w:ascii="Arial" w:cs="Arial" w:eastAsia="Arial" w:hAnsi="Arial"/>
          <w:sz w:val="16"/>
          <w:szCs w:val="16"/>
          <w:color w:val="auto"/>
        </w:rPr>
        <w:t>The December 2019 Exchange Agreement also amends Deerfield Warrant to conform the definitions of “Eligible Market” and “Major Transaction” in the Warrant with the definitions of such terms in the December 2019 Notes.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entering into the December 2019 Exchange Agreement, we also amended and restated the Guaranty and Security Agreement, dated June 2, 2014, by and between us and the other parties thereto, or the GSA, to, among other things, (i) provide that all of the notes will be secured by the liens securing the indebtedness under the Deerfield Facility Agreement, and (ii) name Deerfield as the “Collateral Agent” under the GSA.</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connection with entering into the December 2019 Exchange Agreement, we also entered into an amendment, or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$9.60, subject to adjustment to reflect stock splits and similar events, or (y) the average of the volume-weighted average prices of our common stock on each of the 15 trading days immediately preceding such exchange, (iii) provide that no more than 1,777,437 shares of our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connection with entering into the September 2019 Exchange Agreement Amendment, we filed an amendment to the Certificate of Designation of Preferences, Rights and Limitations of Series B-2 Convertible Preferred Stock, or the Series B-2 Certificate of Designation Amendment, with the Secretary of State of the State Delaware. The Series B-2 Certificate of Designation Amendment provides that each share of the Series B-Preferred Stock is convertible into shares of our common stock at a per share price equal to the common stock exchange price under the September 2019 Exchange Agreement, which equals the greater of (i) $9.60 (subject to adjustment to reflect stock splits and similar events), or (ii) the average of the volume-weighted average prices of our common stock on each of the 15 trading days immediately preceding such exchange.</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2020, the Deerfield Lenders have converted $17.1 million of principal on the December 2019 Notes into all 1,777,437 shares of common stock issuable under the Deerfield Optional Conversion Feature.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2021 Note Exchange Effected in January 2020</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$3,037,354 in exchange for the cancellation of an aggregate of $3,037,354 principal amount and accrued interest of the 2021 Note then owned by Kingdon. Upon entering into the January 2020 Exchange Agreement, we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January 2020 Note was issued with substantially the same terms and conditions as the December 2019 Notes (as amended by the amendment described in more detail below).</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 (a) 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w:t>
      </w:r>
    </w:p>
    <w:p>
      <w:pPr>
        <w:spacing w:after="0" w:line="1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73025</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460" w:top="533" w:right="319" w:bottom="1440" w:gutter="0" w:footer="0" w:header="0"/>
        </w:sectPr>
      </w:pPr>
    </w:p>
    <w:bookmarkStart w:id="101" w:name="page102"/>
    <w:bookmarkEnd w:id="101"/>
    <w:p>
      <w:pPr>
        <w:ind w:left="4"/>
        <w:spacing w:after="0"/>
        <w:rPr>
          <w:sz w:val="20"/>
          <w:szCs w:val="20"/>
          <w:color w:val="auto"/>
        </w:rPr>
      </w:pPr>
      <w:r>
        <w:rPr>
          <w:rFonts w:ascii="Arial" w:cs="Arial" w:eastAsia="Arial" w:hAnsi="Arial"/>
          <w:sz w:val="16"/>
          <w:szCs w:val="16"/>
          <w:b w:val="1"/>
          <w:bCs w:val="1"/>
          <w:i w:val="1"/>
          <w:iCs w:val="1"/>
          <w:color w:val="auto"/>
        </w:rPr>
        <w:t>Debt Restructuring</w:t>
      </w:r>
    </w:p>
    <w:p>
      <w:pPr>
        <w:spacing w:after="0" w:line="198" w:lineRule="exact"/>
        <w:rPr>
          <w:sz w:val="20"/>
          <w:szCs w:val="20"/>
          <w:color w:val="auto"/>
        </w:rPr>
      </w:pPr>
    </w:p>
    <w:p>
      <w:pPr>
        <w:jc w:val="both"/>
        <w:ind w:left="4"/>
        <w:spacing w:after="0" w:line="297" w:lineRule="auto"/>
        <w:rPr>
          <w:sz w:val="20"/>
          <w:szCs w:val="20"/>
          <w:color w:val="auto"/>
        </w:rPr>
      </w:pPr>
      <w:r>
        <w:rPr>
          <w:rFonts w:ascii="Arial" w:cs="Arial" w:eastAsia="Arial" w:hAnsi="Arial"/>
          <w:sz w:val="14"/>
          <w:szCs w:val="14"/>
          <w:color w:val="auto"/>
        </w:rPr>
        <w:t>In December 2020, we entered into the December 2020 Exchange Agreement, which was amended on December 24, 2020. Pursuant to the December 2020 Exchange Agreement, and (a) we made the Debt Payment as a cash pre-payment of a portion of principal amount of the Senior Secured Notes and the Deerfield Note to the Deerfield Lenders, DSC and Kingdon, or, collectively, the Holders, in an aggregate amount equal to approximately $30.3 million,; and (b)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43"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5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6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46"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27"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5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Delaware, setting forth the preferences, rights and limitations of the Series B-2 Preferred Stock.</w:t>
      </w:r>
    </w:p>
    <w:p>
      <w:pPr>
        <w:spacing w:after="0" w:line="16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The shares of Series B-2 Preferred Stock are convertible into an aggregate of 4,842,690 shares of our common stock. Each share of Series B-2 Preferred Stock will have an aggregate stated value of $1,000 and will be convertible into shares of our common stock at a per share price equal to $6.4999 (subject to adjustment to reflect stock splits and similar events).</w:t>
      </w:r>
    </w:p>
    <w:p>
      <w:pPr>
        <w:spacing w:after="0" w:line="162" w:lineRule="exact"/>
        <w:rPr>
          <w:sz w:val="20"/>
          <w:szCs w:val="20"/>
          <w:color w:val="auto"/>
        </w:rPr>
      </w:pPr>
    </w:p>
    <w:p>
      <w:pPr>
        <w:jc w:val="both"/>
        <w:ind w:left="4" w:right="20"/>
        <w:spacing w:after="0" w:line="288" w:lineRule="auto"/>
        <w:rPr>
          <w:sz w:val="20"/>
          <w:szCs w:val="20"/>
          <w:color w:val="auto"/>
        </w:rPr>
      </w:pPr>
      <w:r>
        <w:rPr>
          <w:rFonts w:ascii="Arial" w:cs="Arial" w:eastAsia="Arial" w:hAnsi="Arial"/>
          <w:sz w:val="14"/>
          <w:szCs w:val="14"/>
          <w:color w:val="auto"/>
        </w:rPr>
        <w:t>The Series B-2 Preferred Stock will be convertible at any time on or after the PDUFA Date (as defined in the Amended and Restated Series B-2 Certificate of Designation) at the option of the holders thereof; provided that the holders thereof will be prohibited from converting shares of Series B-2 Preferred Stock into shares our common stock if, as a result of such conversion, such holders (together with certain affiliates and “group” members of such holders) would beneficially own more than 4.985% of the total number of shares of our common stock then issued and outstanding. The Series B-2 Preferred Stock will not be redeemable. In the event of our liquidation, dissolution or winding up or our change in control, the holders of Series B-2 Preferred Stock will receive, prior to any distribution or payment on our common stock, an amount equal to the greater of</w:t>
      </w:r>
    </w:p>
    <w:p>
      <w:pPr>
        <w:spacing w:after="0" w:line="3" w:lineRule="exact"/>
        <w:rPr>
          <w:sz w:val="20"/>
          <w:szCs w:val="20"/>
          <w:color w:val="auto"/>
        </w:rPr>
      </w:pPr>
    </w:p>
    <w:p>
      <w:pPr>
        <w:jc w:val="both"/>
        <w:ind w:left="4" w:hanging="4"/>
        <w:spacing w:after="0" w:line="268" w:lineRule="auto"/>
        <w:tabs>
          <w:tab w:leader="none" w:pos="2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event, in each case, plus any declared but unpaid dividends thereon. With respect to rights upon liquidation, the Series B-2 Preferred Stock will rank senior to our common stock, on parity with any Parity Securities (as defined in the Amended and Restated Series B-2 Certificate of Designation) and junior to any Senior Securities (as defined in the Amended and Restated Series B-2 Certificate of Designation) and existing and future indebtedness. Except as otherwise required by law (or with respect to approval of certain actions involving our organizational documents that adversely affect the holders of Series B-2 Preferred Stock and other specified matters regarding the rights, preferences and privileges of the Series B-2 Preferred Stock), the Series B-2 Preferred Stock will not have voting rights. The Series B-2 Preferred Stock will not be subject to any price-based anti-dilution protections and will not provide for any accruing dividends, but will provide that holders of Series B-2 Preferred Stock will participate in any dividends on our common stock on an as-converted basis (without giving effect to the limitation on conversion described above). The Amended and Restated Series B-2 Certificate of Designation also provides for partial liquidated damages in the event that we fail to timely convert shares of Series B-2 Preferred Stock into common stock in accordance with the Amended and Restated Series B-2 Certificate of Designation.</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33" w:right="319" w:bottom="1440" w:gutter="0" w:footer="0" w:header="0"/>
        </w:sectPr>
      </w:pPr>
    </w:p>
    <w:bookmarkStart w:id="102" w:name="page103"/>
    <w:bookmarkEnd w:id="102"/>
    <w:p>
      <w:pPr>
        <w:ind w:left="4"/>
        <w:spacing w:after="0"/>
        <w:rPr>
          <w:sz w:val="20"/>
          <w:szCs w:val="20"/>
          <w:color w:val="auto"/>
        </w:rPr>
      </w:pPr>
      <w:r>
        <w:rPr>
          <w:rFonts w:ascii="Arial" w:cs="Arial" w:eastAsia="Arial" w:hAnsi="Arial"/>
          <w:sz w:val="16"/>
          <w:szCs w:val="16"/>
          <w:b w:val="1"/>
          <w:bCs w:val="1"/>
          <w:i w:val="1"/>
          <w:iCs w:val="1"/>
          <w:color w:val="auto"/>
        </w:rPr>
        <w:t>December 2020 Exchange Agreement Amendment</w:t>
      </w:r>
    </w:p>
    <w:p>
      <w:pPr>
        <w:spacing w:after="0" w:line="198" w:lineRule="exact"/>
        <w:rPr>
          <w:sz w:val="20"/>
          <w:szCs w:val="20"/>
          <w:color w:val="auto"/>
        </w:rPr>
      </w:pPr>
    </w:p>
    <w:p>
      <w:pPr>
        <w:ind w:left="4"/>
        <w:spacing w:after="0" w:line="294" w:lineRule="auto"/>
        <w:rPr>
          <w:sz w:val="20"/>
          <w:szCs w:val="20"/>
          <w:color w:val="auto"/>
        </w:rPr>
      </w:pPr>
      <w:r>
        <w:rPr>
          <w:rFonts w:ascii="Arial" w:cs="Arial" w:eastAsia="Arial" w:hAnsi="Arial"/>
          <w:sz w:val="14"/>
          <w:szCs w:val="14"/>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modifies certain specified terms of</w:t>
      </w:r>
    </w:p>
    <w:p>
      <w:pPr>
        <w:spacing w:after="0" w:line="1" w:lineRule="exact"/>
        <w:rPr>
          <w:sz w:val="20"/>
          <w:szCs w:val="20"/>
          <w:color w:val="auto"/>
        </w:rPr>
      </w:pPr>
    </w:p>
    <w:p>
      <w:pPr>
        <w:ind w:left="4" w:hanging="4"/>
        <w:spacing w:after="0" w:line="258" w:lineRule="auto"/>
        <w:tabs>
          <w:tab w:leader="none" w:pos="19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Series B-2 Preferred Stock</w:t>
      </w:r>
    </w:p>
    <w:p>
      <w:pPr>
        <w:spacing w:after="0" w:line="198"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On January 11, 2021, as a condition to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Delaware, setting forth the preferences, rights and limitations of the Series B-2 Preferred Stock.</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Payoff of Facility Agreement Notes and Termination of Facility Agreement</w:t>
      </w:r>
    </w:p>
    <w:p>
      <w:pPr>
        <w:spacing w:after="0" w:line="198"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On February 8, 2021, we entered into a payoff letter with the Facility Agreement Note Holders, pursuant to which we agreed to pay off and thereby terminate the Facility Agreement.</w:t>
      </w:r>
    </w:p>
    <w:p>
      <w:pPr>
        <w:spacing w:after="0" w:line="152"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5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Pursuant to the payoff letter, all outstanding indebtedness and obligations of us owing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533"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Cash Flows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years ended December 31, 2020 and 2019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w w:val="97"/>
              </w:rPr>
              <w:t>Year Ended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20"/>
              <w:spacing w:after="0"/>
              <w:rPr>
                <w:sz w:val="20"/>
                <w:szCs w:val="20"/>
                <w:color w:val="auto"/>
              </w:rPr>
            </w:pPr>
            <w:r>
              <w:rPr>
                <w:rFonts w:ascii="Arial" w:cs="Arial" w:eastAsia="Arial" w:hAnsi="Arial"/>
                <w:sz w:val="16"/>
                <w:szCs w:val="16"/>
                <w:b w:val="1"/>
                <w:bCs w:val="1"/>
                <w:color w:val="auto"/>
              </w:rPr>
              <w:t>Period-to</w:t>
            </w:r>
          </w:p>
        </w:tc>
      </w:tr>
      <w:tr>
        <w:trPr>
          <w:trHeight w:val="183"/>
        </w:trPr>
        <w:tc>
          <w:tcPr>
            <w:tcW w:w="5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8"/>
              </w:rPr>
              <w:t>Period Change</w:t>
            </w:r>
          </w:p>
        </w:tc>
      </w:tr>
      <w:tr>
        <w:trPr>
          <w:trHeight w:val="183"/>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21,798</w:t>
            </w:r>
          </w:p>
        </w:tc>
      </w:tr>
      <w:tr>
        <w:trPr>
          <w:trHeight w:val="191"/>
        </w:trPr>
        <w:tc>
          <w:tcPr>
            <w:tcW w:w="506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3,234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191"/>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4,939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767</w:t>
            </w: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(15,564)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16,331</w:t>
            </w: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For the year ended December 31, 2020, net cash used in operating activities of $1.9 million consisted of a net loss of $12.8 million, partially offset by $0.4 million in changes in working capital and $10.4 million in adjustments for non-cash items. Net loss was primarily attributable to our spending on research and development programs and operating costs, partially offset by revenue received under the KP415 License Agreement and the Corium Consulting Agreement. The changes in working capital consisted of $0.9 million related to a change in accounts payable and accrued expenses, $0.2 million related to a change in prepaid expenses and other assets and $0.3 million related to operating lease right-of-use assets and other liabilities, partially offset by $0.7 million related to a change in accounts and other receivables and $0.3 million related to operating lease liabilities. The adjustments for non-cash items primarily consisted of stock-based compensation expense of $2.5 million, non-cash interest expense of $4.7 million, amortization of debt issuance costs and debt discount of $2.3 million, loss on sublease and disposal of property and equipment of $0.3 million, a change in the fair value adjustment related to derivative and warrant liabilities of $0.2 million and $0.4 million related to depreciation, amortization and other items.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For the year ended December 31, 2019, net cash used in operating activities of $23.7 million consisted of a net loss of $24.5 million, primarily attributable to our spending on research and development programs, partially offset by revenue received under the KP415 License Agreement, and $5.1 million in changes in working capital; partially offset by $5.9 million in adjustments for non-cash items. The adjustments for non-cash items primarily consisted of stock-based compensation expense of $4.4 million, non-cash interest expense of $1.4 million, amortization of debt issuance costs and debt discount of $1.7 million and $0.4 million related to depreciation, amortization and other items; partially offset by non-cash income related to the change in the fair value of our derivative and warrant liabilities of $2.0 million. The changes in working capital consisted of $1.7 million related to a change in accounts and other receivables, $3.8 million related to a change in accounts payable and accrued expenses, $1.5 million related to operating lease right-of-use assets and $0.8 million related to a change in other liabilities; partially offset by $0.5 million related to a change in prepaid expenses and other assets and $2.2 million related to operating lease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2020, net cash used in investing activities was $33,000, which was attributable to purchases of property and equipment.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the year ended December 31, 2019, net cash provided by investing activities was $3.2 million, which was primarily attributable to maturities of marketable securities of $3.3 million, partially offset by purchases of property and equipment of $0.1 million.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For the year ended December 31, 2020, net cash provided by financing activities was $2.7 million, which was primarily attributable to proceeds from sales of our common stock under the 2020 ELOC of $2.3 million and proceeds from the PPP loan of $0.8 million, partially offset by repayment of principal on finance lease liabilities of $0.2 million and payment of debt issuance and deferred offerings costs of $0.1 million.</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For the year ended December 31, 2019, net cash provided by financing activities was $4.9 million, which was primarily attributable to proceeds from sales of our common stock under the 2019 ELOC of $5.4 million; partially offset by repayment of principal on finance lease liabilities of $0.2 million and payment of debt issuance costs of $0.3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Based on our current operating forecast, we believe that the proceeds from the Public Offering and inducement warrant transactions, together with our existing cash resources and after giving effect to the Deerfield Debt Payment and the Exchange, will be sufficient to fund our operations at least through Q1 2024. This estimate does not include our projected revenue, a portion of which is based royalties from commercial sales and upon the achievement of milestones in the KP415 License Agreement and the APADAZ License Agreement. Certain of the milestones are associated with regulatory matters that are outside our control.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Potential near-term sources of additional funding include:</w:t>
      </w:r>
    </w:p>
    <w:p>
      <w:pPr>
        <w:spacing w:after="0" w:line="198" w:lineRule="exact"/>
        <w:rPr>
          <w:sz w:val="20"/>
          <w:szCs w:val="20"/>
          <w:color w:val="auto"/>
        </w:rPr>
      </w:pPr>
    </w:p>
    <w:p>
      <w:pPr>
        <w:ind w:left="440" w:hanging="217"/>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revenues generated under either the KP415 License Agreement or the APADAZ License Agreement;</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consulting services revenue or short-term milestone payments generated under the KP415 License Agreement;</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consulting services revenue or short-term milestone payments generated under the Corium Consulting Agreement;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consulting services revenue generated under other potential consulting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cannot guarantee that we will be able to generate sufficient proceeds from any of these potential sources to fund our operating expenses.</w:t>
      </w:r>
    </w:p>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To date, we have generated revenue from the non-refundable upfront payment, regulatory milestone payment, reimbursements of out-of-pocket third-party research and development costs and consulting services under the KP415 License Agreement, consulting services, and associated out-of-pocket third-party costs, under the Corium Consulting Agreement and consulting services under other consulting arrangements. We expect that our only sources of revenues will be through payments arising from the KP415 License Agreement, the APADAZ License Agreement, the Corium Consulting Agreement, or through other potential consulting arrangements and any other future arrangements related to one of our product candidates.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a milestone payment of $5.0 million under the KP415 License Agreement due to the FDA’s acceptance of the AZSTARYS NDA, and we have earned a regulatory milestone payment for the approval of the AZSTARYS NDA, but we cannot guarantee that we will earn any additional milestone or royalty payments under this agreement in the future. We also expect to continue to incur additional costs associated with operating as a public company. If we are unable to generate revenue in the short term under our license agreements, we will need substantial additional funding in order to continue our operations.</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In March 2020, the World Health Organization declared the outbreak of COVID-19, a novel strain of Coronavirus, a global pandemic. This outbreak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including causing potential delay of the FDA’s review of our AZSTARYS NDA.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44"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SEC rules.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Judgements and Estimates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judgements on an ongoing basis. We base our estimates on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Expenses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56" w:lineRule="exact"/>
        <w:rPr>
          <w:sz w:val="20"/>
          <w:szCs w:val="20"/>
          <w:color w:val="auto"/>
        </w:rPr>
      </w:pPr>
    </w:p>
    <w:p>
      <w:pPr>
        <w:ind w:left="440" w:hanging="217"/>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fees paid to CROs in connection with preclinical and toxicology studies and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fees paid to investigative sites in connection with clinical trials;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fees paid to contract manufacturers in connection with the production of our raw materials, drug substance and product candidates;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professional fees.</w:t>
      </w:r>
    </w:p>
    <w:p>
      <w:pPr>
        <w:spacing w:after="0" w:line="19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40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1,134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Severance expense</w:t>
            </w:r>
          </w:p>
        </w:tc>
        <w:tc>
          <w:tcPr>
            <w:tcW w:w="3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Total stock-based compensation</w:t>
            </w:r>
          </w:p>
        </w:tc>
        <w:tc>
          <w:tcPr>
            <w:tcW w:w="40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2,491</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80" w:type="dxa"/>
            <w:vAlign w:val="bottom"/>
            <w:vMerge w:val="restart"/>
          </w:tcPr>
          <w:p>
            <w:pPr>
              <w:jc w:val="right"/>
              <w:ind w:right="1700"/>
              <w:spacing w:after="0"/>
              <w:rPr>
                <w:sz w:val="20"/>
                <w:szCs w:val="20"/>
                <w:color w:val="auto"/>
              </w:rPr>
            </w:pPr>
            <w:r>
              <w:rPr>
                <w:rFonts w:ascii="Arial" w:cs="Arial" w:eastAsia="Arial" w:hAnsi="Arial"/>
                <w:sz w:val="16"/>
                <w:szCs w:val="16"/>
                <w:color w:val="auto"/>
              </w:rPr>
              <w:t>106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29"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i w:val="1"/>
          <w:iCs w:val="1"/>
          <w:color w:val="auto"/>
        </w:rPr>
        <w:t>Determination of the Fair Value of Stock-Based Compensation Grants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65" w:lineRule="exact"/>
        <w:rPr>
          <w:sz w:val="20"/>
          <w:szCs w:val="20"/>
          <w:color w:val="auto"/>
        </w:rPr>
      </w:pPr>
    </w:p>
    <w:p>
      <w:pPr>
        <w:jc w:val="both"/>
        <w:ind w:left="440" w:hanging="217"/>
        <w:spacing w:after="0" w:line="254"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initial public offering, as well as grants within the two-year period immediately following the initial public offering. For grants after the second anniversary of the initial public offering we utilized our historical volatility to determine the expected volatility;</w:t>
      </w:r>
    </w:p>
    <w:p>
      <w:pPr>
        <w:spacing w:after="0" w:line="193" w:lineRule="exact"/>
        <w:rPr>
          <w:rFonts w:ascii="Arial" w:cs="Arial" w:eastAsia="Arial" w:hAnsi="Arial"/>
          <w:sz w:val="16"/>
          <w:szCs w:val="16"/>
          <w:color w:val="auto"/>
        </w:rPr>
      </w:pPr>
    </w:p>
    <w:p>
      <w:pPr>
        <w:ind w:left="440" w:hanging="217"/>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assumed dividend yield is based on our expectation of not paying dividends for the foreseeable future;</w:t>
      </w:r>
    </w:p>
    <w:p>
      <w:pPr>
        <w:spacing w:after="0" w:line="246" w:lineRule="exact"/>
        <w:rPr>
          <w:rFonts w:ascii="Arial" w:cs="Arial" w:eastAsia="Arial" w:hAnsi="Arial"/>
          <w:sz w:val="16"/>
          <w:szCs w:val="16"/>
          <w:color w:val="auto"/>
        </w:rPr>
      </w:pPr>
    </w:p>
    <w:p>
      <w:pPr>
        <w:jc w:val="both"/>
        <w:ind w:left="440" w:right="20" w:hanging="217"/>
        <w:spacing w:after="0" w:line="280" w:lineRule="auto"/>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174" w:lineRule="exact"/>
        <w:rPr>
          <w:rFonts w:ascii="Arial" w:cs="Arial" w:eastAsia="Arial" w:hAnsi="Arial"/>
          <w:sz w:val="15"/>
          <w:szCs w:val="15"/>
          <w:color w:val="auto"/>
        </w:rPr>
      </w:pPr>
    </w:p>
    <w:p>
      <w:pPr>
        <w:ind w:left="440" w:right="20" w:hanging="217"/>
        <w:spacing w:after="0" w:line="275"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determine the risk-free interest rate by reference to implied yields available from U.S. Treasury securities with a remaining term equal to the expected life assumed at the date of grant; and</w:t>
      </w:r>
    </w:p>
    <w:p>
      <w:pPr>
        <w:spacing w:after="0" w:line="175" w:lineRule="exact"/>
        <w:rPr>
          <w:rFonts w:ascii="Arial" w:cs="Arial" w:eastAsia="Arial" w:hAnsi="Arial"/>
          <w:sz w:val="16"/>
          <w:szCs w:val="16"/>
          <w:color w:val="auto"/>
        </w:rPr>
      </w:pPr>
    </w:p>
    <w:p>
      <w:pPr>
        <w:ind w:left="440" w:hanging="217"/>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estimate forfeitures based on our historical analysis of actual stock option forfeitures.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account for stock-based compensation arrangements with directors and consultants that contain only service conditions for vesting using a fair value approach. The grant date fair value of these options is measured using the Black-Scholes option pricing model reflecting the same assumptions as applied to employee options in each of the reported periods, other than the expected life, which is assumed to be the remaining contractual life of the option.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assumptions used for estimating the fair value of stock options granted to employees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2019</w:t>
            </w:r>
          </w:p>
        </w:tc>
        <w:tc>
          <w:tcPr>
            <w:tcW w:w="11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600" w:type="dxa"/>
            <w:vAlign w:val="bottom"/>
            <w:gridSpan w:val="2"/>
            <w:shd w:val="clear" w:color="auto" w:fill="CCEEFF"/>
          </w:tcPr>
          <w:p>
            <w:pPr>
              <w:jc w:val="center"/>
              <w:ind w:left="3160"/>
              <w:spacing w:after="0"/>
              <w:rPr>
                <w:sz w:val="20"/>
                <w:szCs w:val="20"/>
                <w:color w:val="auto"/>
              </w:rPr>
            </w:pPr>
            <w:r>
              <w:rPr>
                <w:rFonts w:ascii="Arial" w:cs="Arial" w:eastAsia="Arial" w:hAnsi="Arial"/>
                <w:sz w:val="16"/>
                <w:szCs w:val="16"/>
                <w:color w:val="auto"/>
                <w:w w:val="91"/>
              </w:rPr>
              <w:t>0.38% - 1.65%</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1.75% - 2.61%</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4600" w:type="dxa"/>
            <w:vAlign w:val="bottom"/>
            <w:gridSpan w:val="2"/>
          </w:tcPr>
          <w:p>
            <w:pPr>
              <w:jc w:val="center"/>
              <w:ind w:left="3160"/>
              <w:spacing w:after="0"/>
              <w:rPr>
                <w:sz w:val="20"/>
                <w:szCs w:val="20"/>
                <w:color w:val="auto"/>
              </w:rPr>
            </w:pPr>
            <w:r>
              <w:rPr>
                <w:rFonts w:ascii="Arial" w:cs="Arial" w:eastAsia="Arial" w:hAnsi="Arial"/>
                <w:sz w:val="16"/>
                <w:szCs w:val="16"/>
                <w:color w:val="auto"/>
                <w:w w:val="88"/>
              </w:rPr>
              <w:t>5.50 - 10.00</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1"/>
              </w:rPr>
              <w:t>5.50 - 10.00</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4600" w:type="dxa"/>
            <w:vAlign w:val="bottom"/>
            <w:gridSpan w:val="2"/>
            <w:shd w:val="clear" w:color="auto" w:fill="CCEEFF"/>
          </w:tcPr>
          <w:p>
            <w:pPr>
              <w:jc w:val="center"/>
              <w:ind w:left="3160"/>
              <w:spacing w:after="0"/>
              <w:rPr>
                <w:sz w:val="20"/>
                <w:szCs w:val="20"/>
                <w:color w:val="auto"/>
              </w:rPr>
            </w:pPr>
            <w:r>
              <w:rPr>
                <w:rFonts w:ascii="Arial" w:cs="Arial" w:eastAsia="Arial" w:hAnsi="Arial"/>
                <w:sz w:val="16"/>
                <w:szCs w:val="16"/>
                <w:color w:val="auto"/>
                <w:w w:val="91"/>
              </w:rPr>
              <w:t>89.49% - 93.07%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84.82% - 85.93%</w:t>
            </w:r>
          </w:p>
        </w:tc>
        <w:tc>
          <w:tcPr>
            <w:tcW w:w="1140" w:type="dxa"/>
            <w:vAlign w:val="bottom"/>
          </w:tcPr>
          <w:p>
            <w:pPr>
              <w:spacing w:after="0"/>
              <w:rPr>
                <w:sz w:val="16"/>
                <w:szCs w:val="16"/>
                <w:color w:val="auto"/>
              </w:rPr>
            </w:pPr>
          </w:p>
        </w:tc>
      </w:tr>
      <w:tr>
        <w:trPr>
          <w:trHeight w:val="204"/>
        </w:trPr>
        <w:tc>
          <w:tcPr>
            <w:tcW w:w="11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4600" w:type="dxa"/>
            <w:vAlign w:val="bottom"/>
            <w:gridSpan w:val="2"/>
          </w:tcPr>
          <w:p>
            <w:pPr>
              <w:jc w:val="center"/>
              <w:ind w:left="3160"/>
              <w:spacing w:after="0"/>
              <w:rPr>
                <w:sz w:val="20"/>
                <w:szCs w:val="20"/>
                <w:color w:val="auto"/>
              </w:rPr>
            </w:pPr>
            <w:r>
              <w:rPr>
                <w:rFonts w:ascii="Arial" w:cs="Arial" w:eastAsia="Arial" w:hAnsi="Arial"/>
                <w:sz w:val="16"/>
                <w:szCs w:val="16"/>
                <w:color w:val="auto"/>
                <w:w w:val="89"/>
              </w:rPr>
              <w:t>0</w:t>
            </w:r>
          </w:p>
        </w:tc>
        <w:tc>
          <w:tcPr>
            <w:tcW w:w="1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0</w:t>
            </w:r>
          </w:p>
        </w:tc>
        <w:tc>
          <w:tcPr>
            <w:tcW w:w="1140" w:type="dxa"/>
            <w:vAlign w:val="bottom"/>
          </w:tcPr>
          <w:p>
            <w:pPr>
              <w:spacing w:after="0"/>
              <w:rPr>
                <w:sz w:val="17"/>
                <w:szCs w:val="17"/>
                <w:color w:val="auto"/>
              </w:rPr>
            </w:pPr>
          </w:p>
        </w:tc>
      </w:tr>
      <w:tr>
        <w:trPr>
          <w:trHeight w:val="370"/>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40" w:type="dxa"/>
            <w:vAlign w:val="bottom"/>
          </w:tcPr>
          <w:p>
            <w:pPr>
              <w:jc w:val="right"/>
              <w:ind w:right="1520"/>
              <w:spacing w:after="0"/>
              <w:rPr>
                <w:sz w:val="20"/>
                <w:szCs w:val="20"/>
                <w:color w:val="auto"/>
              </w:rPr>
            </w:pPr>
            <w:r>
              <w:rPr>
                <w:rFonts w:ascii="Arial" w:cs="Arial" w:eastAsia="Arial" w:hAnsi="Arial"/>
                <w:sz w:val="16"/>
                <w:szCs w:val="16"/>
                <w:color w:val="auto"/>
              </w:rPr>
              <w:t>107</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3"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a common stock warrant issued to Deerfield, put options embedded within those Deerfield warrants, and common stock warrants issued to KVK that meet the definition of derivative financial instruments and are accounted for as derivatives. The fair value of the common stock warrant issued to Deerfield, and put options embedded within the Deerfield Warrants are based on Monte Carlo simulations, while the common stock warrant issued to KVK is valued using a probability-weighted Black-Scholes option pricing model. These derivatives are fair valued at each reporting period.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derivative liability for the Deerfield common stock warrant was $230,000 and $77,000 at December 31, 2020 and 2019, respectively. The derivative liability for the put options embedded within the Deerfield common stock warrant was $25,000 and $19,000 at December 31, 2020 and 2019, respectively. The derivative liability for the KVK common stock warrant was $49,000 and $24,000 at December 31, 2020 and 2019, respectively. A 10% increase in the enterprise value would result in an increase of $29,000 in the estimated fair value of the Deerfield common stock warrant, an increase of $8,000 in the estimated fair value of the put options embedded within the Deerfield common stock warrant and an increase of $8,000 in the estimated fair value of the KVK common stock warrant at December 31, 2020. Upon exercise of the warrants, we will adjust the associated derivative liability to fair value with any changes recorded in other (expense) income. At such time, such derivative liability will also be reclassified to additional paid-in capital, and no further revaluations will be necessary.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Utilization of Net Operating Loss Carryforwards and Research and Development Credits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2020, we had federal net operating loss, or NOL, carryforwards of approximately $226.0 million, due to prior period losses, $138.1 million of which, if not utilized, will begin to expire in 2027 and $87.8 million with no expiration. We also had research and development credit carryforwards of $3.8 million with expiration dates ranging from 2027 to 2037 and $2.6 million with no expiration.</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April 2012, President Obama signed the JOBS Act into law. The JOBS Act contains provisions that, among other things, reduce certain reporting requirements for an emerging growth company. As an emerging growth company, we could have elected to adopt new or revised accounting standards when they become effective for non-public companies, which typically is later than public companies must adopt the standards. We have irrevocably elected not to take advantage of the extended transition period afforded by the JOBS Act and, as a result, will comply with new or revised accounting standards on the relevant dates on which adoption of such standards is required for non-emerging growth companies.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326)—Measurement of Credit Losses on Financial Instruments</w:t>
      </w:r>
      <w:r>
        <w:rPr>
          <w:rFonts w:ascii="Arial" w:cs="Arial" w:eastAsia="Arial" w:hAnsi="Arial"/>
          <w:sz w:val="16"/>
          <w:szCs w:val="16"/>
          <w:color w:val="auto"/>
        </w:rPr>
        <w:t xml:space="preserve"> (“ASU 2016-13”), which replaces the incurred loss impairment methodology with a methodology that reflects expected credit losses and 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our financial statements and disclosures.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820)—Disclosure Framework—Changes to the Disclosure Requirements for 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Measurement </w:t>
      </w:r>
      <w:r>
        <w:rPr>
          <w:rFonts w:ascii="Arial" w:cs="Arial" w:eastAsia="Arial" w:hAnsi="Arial"/>
          <w:sz w:val="15"/>
          <w:szCs w:val="15"/>
          <w:color w:val="auto"/>
        </w:rPr>
        <w:t>(“ASU 2018-13”), which modifies the disclosure requirements on fair value measurements in Topic 820, Fair Value Measurement, based on the concepts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FASB Concepts Statement, </w:t>
      </w:r>
      <w:r>
        <w:rPr>
          <w:rFonts w:ascii="Arial" w:cs="Arial" w:eastAsia="Arial" w:hAnsi="Arial"/>
          <w:sz w:val="15"/>
          <w:szCs w:val="15"/>
          <w:i w:val="1"/>
          <w:iCs w:val="1"/>
          <w:color w:val="auto"/>
        </w:rPr>
        <w:t>Conceptual Framework for Financial Reporting—Chapter 8: Notes to Financial Statements,</w:t>
      </w:r>
      <w:r>
        <w:rPr>
          <w:rFonts w:ascii="Arial" w:cs="Arial" w:eastAsia="Arial" w:hAnsi="Arial"/>
          <w:sz w:val="15"/>
          <w:szCs w:val="15"/>
          <w:color w:val="auto"/>
        </w:rPr>
        <w:t xml:space="preserve"> which the FASB finalized on August 28, 2018, including the consideration of costs and benefits. This update applies to all entities that are required, under existing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our financial statements and disclosures.</w:t>
      </w:r>
    </w:p>
    <w:p>
      <w:pPr>
        <w:spacing w:after="0" w:line="159" w:lineRule="exact"/>
        <w:rPr>
          <w:sz w:val="20"/>
          <w:szCs w:val="20"/>
          <w:color w:val="auto"/>
        </w:rPr>
      </w:pPr>
    </w:p>
    <w:p>
      <w:pPr>
        <w:jc w:val="both"/>
        <w:ind w:right="120"/>
        <w:spacing w:after="0" w:line="289"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Accounting for Convertible Instruments and Contracts in an Entity’s Own Equity </w:t>
      </w:r>
      <w:r>
        <w:rPr>
          <w:rFonts w:ascii="Arial" w:cs="Arial" w:eastAsia="Arial" w:hAnsi="Arial"/>
          <w:sz w:val="14"/>
          <w:szCs w:val="14"/>
          <w:color w:val="auto"/>
        </w:rPr>
        <w:t>(“ASU 2020-06”), which addresses issues identified as a result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w:t>
      </w:r>
    </w:p>
    <w:p>
      <w:pPr>
        <w:spacing w:after="0" w:line="2"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Early adoption is permitted, but no earlier than fiscal years beginning after December 15, 2020, including interim periods within those fiscal years. FASB specified that an entity should adopt the guidance as of the beginning of its annual fiscal year. We are currently evaluating the impact the adoption of ASU 2020-06 could have on our financial statements and disclosures.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09" w:name="page110"/>
    <w:bookmarkEnd w:id="109"/>
    <w:p>
      <w:pPr>
        <w:ind w:right="4860"/>
        <w:spacing w:after="0" w:line="260" w:lineRule="auto"/>
        <w:rPr>
          <w:sz w:val="20"/>
          <w:szCs w:val="20"/>
          <w:color w:val="auto"/>
        </w:rPr>
      </w:pPr>
      <w:r>
        <w:rPr>
          <w:rFonts w:ascii="Arial" w:cs="Arial" w:eastAsia="Arial" w:hAnsi="Arial"/>
          <w:sz w:val="16"/>
          <w:szCs w:val="16"/>
          <w:b w:val="1"/>
          <w:bCs w:val="1"/>
          <w:color w:val="auto"/>
        </w:rPr>
        <w:t>ITEM QUANTITATIVE AND QUALITATIVE DISCLOSURES ABOUT MARKET RISK 7A.</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required by this item are set forth beginning in Item 15 of this report and are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CONTROLS AND PROCEDURES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9A.</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2020. Based on the evaluation of our disclosure controls and procedures as of December 31, 2020, our chief executive officer and our chief financial officer concluded that, as of such date,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Controls over Financial Reporting</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Internal controls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Management is responsible for establishing and maintaining adequate internal controls over our financial reporting, as such term is defined in Rules 13a-15(f) and 15d-15(e) under the Exchange Act. Under the supervision and with the participation of our management, including our chief executive officer and chief financial officer, we conducted an evaluation of the effectiveness of our internal controls over financial reporting. Management has used the framework set forth in the report entitled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published by the Committee of Sponsoring Organizations of the Treadway Commission to evaluate the effectiveness of our internal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Based on its evaluation, management has concluded that our internal controls over financial reporting were effective as of December 31, 2020, the end of our most recent fiscal year.</w:t>
      </w:r>
    </w:p>
    <w:p>
      <w:pPr>
        <w:spacing w:after="0" w:line="170"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Our independent registered public accounting firm has not performed an evaluation of our internal controls over financial reporting during any period in accordance with the provisions of the Sarbanes-Oxley Act. For as long as we remain a smaller reporting company, we intend to take advantage of the exemption permitting us not to comply with the requirement that our independent registered public accounting firm provide an attestation on the effectiveness of our internal controls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i w:val="1"/>
          <w:iCs w:val="1"/>
          <w:color w:val="auto"/>
        </w:rPr>
        <w:t>Changes in Internal Controls over Financial Reporting</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In connection with the evaluation required by Rules 13a-15(d) and 15d-15(d) of the Exchange Act that occurred during the most recent fiscal quarter, we noted a material change in our internal controls over financial reporting where we entered into an agreement with a third-party financial accounting advisory firm to provide professional services on an as-needed basis. These services could range from technical accounting assistance to staff loan opportunities dependent upon our needs.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Inherent Limitations on Effectiveness of Controls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Our management, including our chief executive officer and our chief financial officer, believes that our disclosure controls and procedures and internal controls over financial reporting are designed to provide reasonable assurance of achieving their objectives and are effective at the reasonable assurance level. However, our management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OTHER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9B.</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10.DIRECTORS, EXECUTIVE OFFICERS AND CORPORATE GOVERNANCE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required by this Item 10 will be set forth under the headings “Proposal 1 - Election of Directors,” “Executive Officers,” “Information Regarding the Board of Directors and Corporate Governance” and “Section 16(a) Beneficial Ownership Reporting Compliance” in our definitive proxy statement for our 2021 annual meeting of stockholders, or the proxy statement, and, is incorporated herein by reference.</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We have adopted a Code of Business Conduct and Ethics, or the Code of Conduct, applicable to all of our employees, executive officers and directors. The Code of Conduct is available on our website at </w:t>
      </w:r>
      <w:r>
        <w:rPr>
          <w:rFonts w:ascii="Arial" w:cs="Arial" w:eastAsia="Arial" w:hAnsi="Arial"/>
          <w:sz w:val="16"/>
          <w:szCs w:val="16"/>
          <w:u w:val="single" w:color="auto"/>
          <w:color w:val="auto"/>
        </w:rPr>
        <w:t>www.kempharm.com</w:t>
      </w:r>
      <w:r>
        <w:rPr>
          <w:rFonts w:ascii="Arial" w:cs="Arial" w:eastAsia="Arial" w:hAnsi="Arial"/>
          <w:sz w:val="16"/>
          <w:szCs w:val="16"/>
          <w:color w:val="auto"/>
        </w:rPr>
        <w:t>. The nominating and corporate governance committee of our board of directors is responsible for overseeing the Code of Conduct and must approve any waivers of the Code of Conduct for employees, executive officers and directors. We intend to post any amendments to the Code of Conduct or any waivers of its requirements on our website.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information required by this Item 11 will be set forth under the headings “Executive Compensation” and “Information Regarding the Board of Directors and Corporate Governance” in our proxy statement and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12.SECURITY OWNERSHIP OF CERTAIN BENEFICIAL OWNERS AND MANAGEMENT AND RELATED STOCKHOLDER MATTERS.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information required by this Item 12 will be set forth under the headings “Security Ownership of Certain Beneficial Owners and Management” and “Securities Authorized for Issuance under the Equity Compensation Plans” in the proxy statement and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13.CERTAIN RELATIONSHIPS AND RELATED TRANSACTIONS, AND DIRECTOR INDEPENDENCE</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information required by this Item 13 will be set forth under the headings “Information Regarding the Board of Directors and Corporate Governance” and “Transactions with Related Persons” in the proxy statement and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14.PRINCIPAL ACCOUNTING FEES AND SERVICES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information required by this Item 14 will be set forth under the proposal with the heading “Ratification of Selection of Independent Registered Public Accounting Firm” in the proxy statement and is incorporated herein by reference.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8"/>
        </w:trPr>
        <w:tc>
          <w:tcPr>
            <w:tcW w:w="720" w:type="dxa"/>
            <w:vAlign w:val="bottom"/>
          </w:tcPr>
          <w:p>
            <w:pPr>
              <w:spacing w:after="0"/>
              <w:rPr>
                <w:sz w:val="18"/>
                <w:szCs w:val="18"/>
                <w:color w:val="auto"/>
              </w:rPr>
            </w:pPr>
          </w:p>
        </w:tc>
        <w:tc>
          <w:tcPr>
            <w:tcW w:w="9300" w:type="dxa"/>
            <w:vAlign w:val="bottom"/>
          </w:tcPr>
          <w:p>
            <w:pPr>
              <w:ind w:left="4580"/>
              <w:spacing w:after="0"/>
              <w:rPr>
                <w:sz w:val="20"/>
                <w:szCs w:val="20"/>
                <w:color w:val="auto"/>
              </w:rPr>
            </w:pPr>
            <w:r>
              <w:rPr>
                <w:rFonts w:ascii="Arial" w:cs="Arial" w:eastAsia="Arial" w:hAnsi="Arial"/>
                <w:sz w:val="16"/>
                <w:szCs w:val="16"/>
                <w:b w:val="1"/>
                <w:bCs w:val="1"/>
                <w:color w:val="auto"/>
              </w:rPr>
              <w:t>PART IV</w:t>
            </w:r>
          </w:p>
        </w:tc>
        <w:tc>
          <w:tcPr>
            <w:tcW w:w="1260" w:type="dxa"/>
            <w:vAlign w:val="bottom"/>
          </w:tcPr>
          <w:p>
            <w:pPr>
              <w:spacing w:after="0"/>
              <w:rPr>
                <w:sz w:val="18"/>
                <w:szCs w:val="18"/>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ITEM 15.EXHIBITS AND FINANCIAL STATEMENT SCHEDULES</w:t>
            </w:r>
          </w:p>
        </w:tc>
        <w:tc>
          <w:tcPr>
            <w:tcW w:w="1260" w:type="dxa"/>
            <w:vAlign w:val="bottom"/>
          </w:tcPr>
          <w:p>
            <w:pPr>
              <w:spacing w:after="0"/>
              <w:rPr>
                <w:sz w:val="24"/>
                <w:szCs w:val="24"/>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color w:val="auto"/>
              </w:rPr>
              <w:t>(a)   The following documents are filed as part of this report:</w:t>
            </w:r>
          </w:p>
        </w:tc>
        <w:tc>
          <w:tcPr>
            <w:tcW w:w="1260" w:type="dxa"/>
            <w:vAlign w:val="bottom"/>
          </w:tcPr>
          <w:p>
            <w:pPr>
              <w:spacing w:after="0"/>
              <w:rPr>
                <w:sz w:val="24"/>
                <w:szCs w:val="24"/>
                <w:color w:val="auto"/>
              </w:rPr>
            </w:pPr>
          </w:p>
        </w:tc>
      </w:tr>
      <w:tr>
        <w:trPr>
          <w:trHeight w:val="382"/>
        </w:trPr>
        <w:tc>
          <w:tcPr>
            <w:tcW w:w="10020" w:type="dxa"/>
            <w:vAlign w:val="bottom"/>
            <w:gridSpan w:val="2"/>
          </w:tcPr>
          <w:p>
            <w:pPr>
              <w:ind w:left="4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Index list to Financial Statements:</w:t>
            </w:r>
          </w:p>
        </w:tc>
        <w:tc>
          <w:tcPr>
            <w:tcW w:w="1260" w:type="dxa"/>
            <w:vAlign w:val="bottom"/>
          </w:tcPr>
          <w:p>
            <w:pPr>
              <w:spacing w:after="0"/>
              <w:rPr>
                <w:sz w:val="24"/>
                <w:szCs w:val="24"/>
                <w:color w:val="auto"/>
              </w:rPr>
            </w:pPr>
          </w:p>
        </w:tc>
      </w:tr>
      <w:tr>
        <w:trPr>
          <w:trHeight w:val="382"/>
        </w:trPr>
        <w:tc>
          <w:tcPr>
            <w:tcW w:w="72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0"/>
              </w:rPr>
              <w:t>Page</w:t>
            </w:r>
          </w:p>
        </w:tc>
      </w:tr>
      <w:tr>
        <w:trPr>
          <w:trHeight w:val="183"/>
        </w:trPr>
        <w:tc>
          <w:tcPr>
            <w:tcW w:w="720" w:type="dxa"/>
            <w:vAlign w:val="bottom"/>
          </w:tcPr>
          <w:p>
            <w:pPr>
              <w:spacing w:after="0"/>
              <w:rPr>
                <w:sz w:val="15"/>
                <w:szCs w:val="15"/>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1260" w:type="dxa"/>
            <w:vAlign w:val="bottom"/>
            <w:shd w:val="clear" w:color="auto" w:fill="CCEEFF"/>
          </w:tcPr>
          <w:p>
            <w:pPr>
              <w:jc w:val="center"/>
              <w:spacing w:after="0"/>
              <w:rPr>
                <w:rFonts w:ascii="Arial" w:cs="Arial" w:eastAsia="Arial" w:hAnsi="Arial"/>
                <w:sz w:val="16"/>
                <w:szCs w:val="16"/>
                <w:u w:val="single" w:color="auto"/>
                <w:color w:val="0000EE"/>
                <w:w w:val="89"/>
              </w:rPr>
            </w:pPr>
            <w:hyperlink w:anchor="page114">
              <w:r>
                <w:rPr>
                  <w:rFonts w:ascii="Arial" w:cs="Arial" w:eastAsia="Arial" w:hAnsi="Arial"/>
                  <w:sz w:val="16"/>
                  <w:szCs w:val="16"/>
                  <w:u w:val="single" w:color="auto"/>
                  <w:color w:val="0000EE"/>
                  <w:w w:val="89"/>
                </w:rPr>
                <w:t>114</w:t>
              </w:r>
            </w:hyperlink>
          </w:p>
        </w:tc>
      </w:tr>
      <w:tr>
        <w:trPr>
          <w:trHeight w:val="191"/>
        </w:trPr>
        <w:tc>
          <w:tcPr>
            <w:tcW w:w="7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6"/>
                <w:szCs w:val="16"/>
                <w:color w:val="auto"/>
              </w:rPr>
              <w:t>Balance Sheets as of December 31, 2020 and 2019</w:t>
            </w:r>
          </w:p>
        </w:tc>
        <w:tc>
          <w:tcPr>
            <w:tcW w:w="1260" w:type="dxa"/>
            <w:vAlign w:val="bottom"/>
          </w:tcPr>
          <w:p>
            <w:pPr>
              <w:jc w:val="center"/>
              <w:spacing w:after="0"/>
              <w:rPr>
                <w:rFonts w:ascii="Arial" w:cs="Arial" w:eastAsia="Arial" w:hAnsi="Arial"/>
                <w:sz w:val="16"/>
                <w:szCs w:val="16"/>
                <w:u w:val="single" w:color="auto"/>
                <w:color w:val="0000EE"/>
                <w:w w:val="89"/>
              </w:rPr>
            </w:pPr>
            <w:hyperlink w:anchor="page115">
              <w:r>
                <w:rPr>
                  <w:rFonts w:ascii="Arial" w:cs="Arial" w:eastAsia="Arial" w:hAnsi="Arial"/>
                  <w:sz w:val="16"/>
                  <w:szCs w:val="16"/>
                  <w:u w:val="single" w:color="auto"/>
                  <w:color w:val="0000EE"/>
                  <w:w w:val="89"/>
                </w:rPr>
                <w:t>115</w:t>
              </w:r>
            </w:hyperlink>
          </w:p>
        </w:tc>
      </w:tr>
      <w:tr>
        <w:trPr>
          <w:trHeight w:val="191"/>
        </w:trPr>
        <w:tc>
          <w:tcPr>
            <w:tcW w:w="7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6"/>
                <w:szCs w:val="16"/>
                <w:color w:val="auto"/>
              </w:rPr>
              <w:t>Statements of Operations for the years ended December 31, 2020 and 2019</w:t>
            </w:r>
          </w:p>
        </w:tc>
        <w:tc>
          <w:tcPr>
            <w:tcW w:w="1260" w:type="dxa"/>
            <w:vAlign w:val="bottom"/>
            <w:shd w:val="clear" w:color="auto" w:fill="CCEEFF"/>
          </w:tcPr>
          <w:p>
            <w:pPr>
              <w:jc w:val="center"/>
              <w:spacing w:after="0"/>
              <w:rPr>
                <w:rFonts w:ascii="Arial" w:cs="Arial" w:eastAsia="Arial" w:hAnsi="Arial"/>
                <w:sz w:val="16"/>
                <w:szCs w:val="16"/>
                <w:u w:val="single" w:color="auto"/>
                <w:color w:val="0000EE"/>
                <w:w w:val="89"/>
              </w:rPr>
            </w:pPr>
            <w:hyperlink w:anchor="page116">
              <w:r>
                <w:rPr>
                  <w:rFonts w:ascii="Arial" w:cs="Arial" w:eastAsia="Arial" w:hAnsi="Arial"/>
                  <w:sz w:val="16"/>
                  <w:szCs w:val="16"/>
                  <w:u w:val="single" w:color="auto"/>
                  <w:color w:val="0000EE"/>
                  <w:w w:val="89"/>
                </w:rPr>
                <w:t>116</w:t>
              </w:r>
            </w:hyperlink>
          </w:p>
        </w:tc>
      </w:tr>
      <w:tr>
        <w:trPr>
          <w:trHeight w:val="191"/>
        </w:trPr>
        <w:tc>
          <w:tcPr>
            <w:tcW w:w="7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6"/>
                <w:szCs w:val="16"/>
                <w:color w:val="auto"/>
              </w:rPr>
              <w:t>Statements of Changes in Stockholders’ Deficit for the years ended December 31, 2020 and 2019</w:t>
            </w:r>
          </w:p>
        </w:tc>
        <w:tc>
          <w:tcPr>
            <w:tcW w:w="1260" w:type="dxa"/>
            <w:vAlign w:val="bottom"/>
          </w:tcPr>
          <w:p>
            <w:pPr>
              <w:jc w:val="center"/>
              <w:spacing w:after="0"/>
              <w:rPr>
                <w:rFonts w:ascii="Arial" w:cs="Arial" w:eastAsia="Arial" w:hAnsi="Arial"/>
                <w:sz w:val="16"/>
                <w:szCs w:val="16"/>
                <w:u w:val="single" w:color="auto"/>
                <w:color w:val="0000EE"/>
                <w:w w:val="89"/>
              </w:rPr>
            </w:pPr>
            <w:hyperlink w:anchor="page117">
              <w:r>
                <w:rPr>
                  <w:rFonts w:ascii="Arial" w:cs="Arial" w:eastAsia="Arial" w:hAnsi="Arial"/>
                  <w:sz w:val="16"/>
                  <w:szCs w:val="16"/>
                  <w:u w:val="single" w:color="auto"/>
                  <w:color w:val="0000EE"/>
                  <w:w w:val="89"/>
                </w:rPr>
                <w:t>117</w:t>
              </w:r>
            </w:hyperlink>
          </w:p>
        </w:tc>
      </w:tr>
      <w:tr>
        <w:trPr>
          <w:trHeight w:val="191"/>
        </w:trPr>
        <w:tc>
          <w:tcPr>
            <w:tcW w:w="7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6"/>
                <w:szCs w:val="16"/>
                <w:color w:val="auto"/>
              </w:rPr>
              <w:t>Statements of Cash Flows for the years ended December 31, 2020 and 2019</w:t>
            </w:r>
          </w:p>
        </w:tc>
        <w:tc>
          <w:tcPr>
            <w:tcW w:w="1260" w:type="dxa"/>
            <w:vAlign w:val="bottom"/>
            <w:shd w:val="clear" w:color="auto" w:fill="CCEEFF"/>
          </w:tcPr>
          <w:p>
            <w:pPr>
              <w:jc w:val="center"/>
              <w:spacing w:after="0"/>
              <w:rPr>
                <w:rFonts w:ascii="Arial" w:cs="Arial" w:eastAsia="Arial" w:hAnsi="Arial"/>
                <w:sz w:val="16"/>
                <w:szCs w:val="16"/>
                <w:u w:val="single" w:color="auto"/>
                <w:color w:val="0000EE"/>
                <w:w w:val="89"/>
              </w:rPr>
            </w:pPr>
            <w:hyperlink w:anchor="page118">
              <w:r>
                <w:rPr>
                  <w:rFonts w:ascii="Arial" w:cs="Arial" w:eastAsia="Arial" w:hAnsi="Arial"/>
                  <w:sz w:val="16"/>
                  <w:szCs w:val="16"/>
                  <w:u w:val="single" w:color="auto"/>
                  <w:color w:val="0000EE"/>
                  <w:w w:val="89"/>
                </w:rPr>
                <w:t>118</w:t>
              </w:r>
            </w:hyperlink>
          </w:p>
        </w:tc>
      </w:tr>
      <w:tr>
        <w:trPr>
          <w:trHeight w:val="204"/>
        </w:trPr>
        <w:tc>
          <w:tcPr>
            <w:tcW w:w="720" w:type="dxa"/>
            <w:vAlign w:val="bottom"/>
          </w:tcPr>
          <w:p>
            <w:pPr>
              <w:spacing w:after="0"/>
              <w:rPr>
                <w:sz w:val="17"/>
                <w:szCs w:val="17"/>
                <w:color w:val="auto"/>
              </w:rPr>
            </w:pPr>
          </w:p>
        </w:tc>
        <w:tc>
          <w:tcPr>
            <w:tcW w:w="9300" w:type="dxa"/>
            <w:vAlign w:val="bottom"/>
          </w:tcPr>
          <w:p>
            <w:pPr>
              <w:spacing w:after="0"/>
              <w:rPr>
                <w:sz w:val="20"/>
                <w:szCs w:val="20"/>
                <w:color w:val="auto"/>
              </w:rPr>
            </w:pPr>
            <w:r>
              <w:rPr>
                <w:rFonts w:ascii="Arial" w:cs="Arial" w:eastAsia="Arial" w:hAnsi="Arial"/>
                <w:sz w:val="16"/>
                <w:szCs w:val="16"/>
                <w:color w:val="auto"/>
              </w:rPr>
              <w:t>Notes to Financial Statements</w:t>
            </w:r>
          </w:p>
        </w:tc>
        <w:tc>
          <w:tcPr>
            <w:tcW w:w="1260" w:type="dxa"/>
            <w:vAlign w:val="bottom"/>
          </w:tcPr>
          <w:p>
            <w:pPr>
              <w:jc w:val="center"/>
              <w:spacing w:after="0"/>
              <w:rPr>
                <w:rFonts w:ascii="Arial" w:cs="Arial" w:eastAsia="Arial" w:hAnsi="Arial"/>
                <w:sz w:val="16"/>
                <w:szCs w:val="16"/>
                <w:u w:val="single" w:color="auto"/>
                <w:color w:val="0000EE"/>
                <w:w w:val="89"/>
              </w:rPr>
            </w:pPr>
            <w:hyperlink w:anchor="page119">
              <w:r>
                <w:rPr>
                  <w:rFonts w:ascii="Arial" w:cs="Arial" w:eastAsia="Arial" w:hAnsi="Arial"/>
                  <w:sz w:val="16"/>
                  <w:szCs w:val="16"/>
                  <w:u w:val="single" w:color="auto"/>
                  <w:color w:val="0000EE"/>
                  <w:w w:val="89"/>
                </w:rPr>
                <w:t>119</w:t>
              </w:r>
            </w:hyperlink>
          </w:p>
        </w:tc>
      </w:tr>
    </w:tbl>
    <w:p>
      <w:pPr>
        <w:spacing w:after="0" w:line="166" w:lineRule="exact"/>
        <w:rPr>
          <w:sz w:val="20"/>
          <w:szCs w:val="20"/>
          <w:color w:val="auto"/>
        </w:rPr>
      </w:pPr>
    </w:p>
    <w:p>
      <w:pPr>
        <w:ind w:left="780" w:hanging="354"/>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Financial Statement Schedules</w:t>
      </w:r>
    </w:p>
    <w:p>
      <w:pPr>
        <w:spacing w:after="0" w:line="198"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All other schedules are omitted because they are not required or the required information is included in the financial statements or notes thereto.</w:t>
      </w:r>
    </w:p>
    <w:p>
      <w:pPr>
        <w:spacing w:after="0" w:line="198" w:lineRule="exact"/>
        <w:rPr>
          <w:rFonts w:ascii="Arial" w:cs="Arial" w:eastAsia="Arial" w:hAnsi="Arial"/>
          <w:sz w:val="16"/>
          <w:szCs w:val="16"/>
          <w:color w:val="auto"/>
        </w:rPr>
      </w:pPr>
    </w:p>
    <w:p>
      <w:pPr>
        <w:ind w:left="780" w:hanging="350"/>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98"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The exhibits listed in the accompanying Exhibit Index are filed or incorporated by reference as part of this report.</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80"/>
          </w:cols>
          <w:pgMar w:left="320" w:top="529" w:right="299" w:bottom="1440" w:gutter="0" w:footer="0" w:header="0"/>
        </w:sectPr>
      </w:pPr>
    </w:p>
    <w:bookmarkStart w:id="113" w:name="page114"/>
    <w:bookmarkEnd w:id="113"/>
    <w:p>
      <w:pPr>
        <w:ind w:left="29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KemPharm,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have audited the accompanying balance sheets of KemPharm, Inc. (the Company) as of December 31, 2020 and 2019, the related statements of operations, changes in stockholders’ deficit and cash flows for the years then ended, and the related notes (collectively,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Opinion</w:t>
      </w:r>
    </w:p>
    <w:p>
      <w:pPr>
        <w:spacing w:after="0" w:line="20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7"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02"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As described in Note B to the financial statements, the Company’s revenues are derived from contracts with customers that may include multiple performance obligations, consideration constrained by regulatory milestones over which the Company may have little or no control, and services that may be delivered over a period of time. Management exercises significant judgement in determining revenue recognition for these customer agreements including:</w:t>
      </w:r>
    </w:p>
    <w:p>
      <w:pPr>
        <w:spacing w:after="0" w:line="162" w:lineRule="exact"/>
        <w:rPr>
          <w:sz w:val="20"/>
          <w:szCs w:val="20"/>
          <w:color w:val="auto"/>
        </w:rPr>
      </w:pPr>
    </w:p>
    <w:p>
      <w:pPr>
        <w:ind w:left="440" w:hanging="217"/>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Determination of stand-alone selling prices (SSP) for each distinct performance obligation.</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Timing of when revenue is recognized for each distinct performance obligation.</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Estimation of constrained consideration to be included in the transaction price when determining the amount of revenue to recognize.</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Determining the time period over which to recognize revenue.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We identified the Company’s revenue recognition related to its collaboration and license contracts and other contracts as a critical audit matter because the identification of accounting performance obligations, determination of the initial transaction price and estimation of SSP for each performance obligation and estimation of the period over which to recognize revenue required significant audit effort and a high degree of auditor judgment and subjectivity to evaluate the evidence obtained.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procedures related to the Company’s revenue recognition for these customer agreements included the following, among others:</w:t>
      </w:r>
    </w:p>
    <w:p>
      <w:pPr>
        <w:spacing w:after="0" w:line="198" w:lineRule="exact"/>
        <w:rPr>
          <w:sz w:val="20"/>
          <w:szCs w:val="20"/>
          <w:color w:val="auto"/>
        </w:rPr>
      </w:pPr>
    </w:p>
    <w:p>
      <w:pPr>
        <w:ind w:left="440" w:hanging="217"/>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Evaluated the Company’s significant accounting policies related to customer agreements in accordance with the applicable accounting standards.</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Obtained customer agreements and performed the following procedures, among others:</w:t>
      </w:r>
    </w:p>
    <w:p>
      <w:pPr>
        <w:spacing w:after="0" w:line="198" w:lineRule="exact"/>
        <w:rPr>
          <w:rFonts w:ascii="Arial" w:cs="Arial" w:eastAsia="Arial" w:hAnsi="Arial"/>
          <w:sz w:val="16"/>
          <w:szCs w:val="16"/>
          <w:color w:val="auto"/>
        </w:rPr>
      </w:pPr>
    </w:p>
    <w:p>
      <w:pPr>
        <w:ind w:left="680" w:hanging="230"/>
        <w:spacing w:after="0"/>
        <w:tabs>
          <w:tab w:leader="none" w:pos="680" w:val="left"/>
        </w:tabs>
        <w:numPr>
          <w:ilvl w:val="1"/>
          <w:numId w:val="50"/>
        </w:numPr>
        <w:rPr>
          <w:rFonts w:ascii="Arial" w:cs="Arial" w:eastAsia="Arial" w:hAnsi="Arial"/>
          <w:sz w:val="15"/>
          <w:szCs w:val="15"/>
          <w:color w:val="auto"/>
        </w:rPr>
      </w:pPr>
      <w:r>
        <w:rPr>
          <w:rFonts w:ascii="Arial" w:cs="Arial" w:eastAsia="Arial" w:hAnsi="Arial"/>
          <w:sz w:val="15"/>
          <w:szCs w:val="15"/>
          <w:color w:val="auto"/>
        </w:rPr>
        <w:t>Obtained and read contract source documents, including master agreements, statements of work, and other documents that were part of the agreement.</w:t>
      </w:r>
    </w:p>
    <w:p>
      <w:pPr>
        <w:spacing w:after="0" w:line="209" w:lineRule="exact"/>
        <w:rPr>
          <w:rFonts w:ascii="Arial" w:cs="Arial" w:eastAsia="Arial" w:hAnsi="Arial"/>
          <w:sz w:val="15"/>
          <w:szCs w:val="15"/>
          <w:color w:val="auto"/>
        </w:rPr>
      </w:pPr>
    </w:p>
    <w:p>
      <w:pPr>
        <w:ind w:left="680" w:hanging="230"/>
        <w:spacing w:after="0" w:line="183" w:lineRule="auto"/>
        <w:tabs>
          <w:tab w:leader="none" w:pos="680" w:val="left"/>
        </w:tabs>
        <w:numPr>
          <w:ilvl w:val="1"/>
          <w:numId w:val="50"/>
        </w:numPr>
        <w:rPr>
          <w:rFonts w:ascii="Arial" w:cs="Arial" w:eastAsia="Arial" w:hAnsi="Arial"/>
          <w:sz w:val="30"/>
          <w:szCs w:val="30"/>
          <w:color w:val="auto"/>
          <w:vertAlign w:val="subscript"/>
        </w:rPr>
      </w:pPr>
      <w:r>
        <w:rPr>
          <w:rFonts w:ascii="Arial" w:cs="Arial" w:eastAsia="Arial" w:hAnsi="Arial"/>
          <w:sz w:val="15"/>
          <w:szCs w:val="15"/>
          <w:color w:val="auto"/>
        </w:rPr>
        <w:t>Tested management’s identification of significant terms for completeness, including the identification of distinct performance obligations and constrained consideration.</w:t>
      </w:r>
    </w:p>
    <w:p>
      <w:pPr>
        <w:spacing w:after="0" w:line="179" w:lineRule="exact"/>
        <w:rPr>
          <w:rFonts w:ascii="Arial" w:cs="Arial" w:eastAsia="Arial" w:hAnsi="Arial"/>
          <w:sz w:val="30"/>
          <w:szCs w:val="30"/>
          <w:color w:val="auto"/>
          <w:vertAlign w:val="subscript"/>
        </w:rPr>
      </w:pPr>
    </w:p>
    <w:p>
      <w:pPr>
        <w:ind w:left="680" w:hanging="230"/>
        <w:spacing w:after="0"/>
        <w:tabs>
          <w:tab w:leader="none" w:pos="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Tested management’s evaluation of the time period over which revenue should be recognized.</w:t>
      </w:r>
    </w:p>
    <w:p>
      <w:pPr>
        <w:spacing w:after="0" w:line="198" w:lineRule="exact"/>
        <w:rPr>
          <w:rFonts w:ascii="Arial" w:cs="Arial" w:eastAsia="Arial" w:hAnsi="Arial"/>
          <w:sz w:val="16"/>
          <w:szCs w:val="16"/>
          <w:color w:val="auto"/>
        </w:rPr>
      </w:pPr>
    </w:p>
    <w:p>
      <w:pPr>
        <w:ind w:left="440" w:right="20" w:hanging="217"/>
        <w:spacing w:after="0" w:line="183" w:lineRule="auto"/>
        <w:tabs>
          <w:tab w:leader="none" w:pos="440" w:val="left"/>
        </w:tabs>
        <w:numPr>
          <w:ilvl w:val="0"/>
          <w:numId w:val="50"/>
        </w:numPr>
        <w:rPr>
          <w:rFonts w:ascii="Arial" w:cs="Arial" w:eastAsia="Arial" w:hAnsi="Arial"/>
          <w:sz w:val="30"/>
          <w:szCs w:val="30"/>
          <w:color w:val="auto"/>
          <w:vertAlign w:val="subscript"/>
        </w:rPr>
      </w:pPr>
      <w:r>
        <w:rPr>
          <w:rFonts w:ascii="Arial" w:cs="Arial" w:eastAsia="Arial" w:hAnsi="Arial"/>
          <w:sz w:val="15"/>
          <w:szCs w:val="15"/>
          <w:color w:val="auto"/>
        </w:rPr>
        <w:t>Evaluated management’s estimate of SSP related to products and services that are not sold separately for reasonableness and tested the completeness and accuracy of the data used in determining the SSP.</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Orlando, Florida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March 11,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6"/>
          <w:szCs w:val="16"/>
          <w:b w:val="1"/>
          <w:bCs w:val="1"/>
          <w:color w:val="auto"/>
        </w:rPr>
        <w:t>KEMPHARM,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par value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183"/>
        </w:trPr>
        <w:tc>
          <w:tcPr>
            <w:tcW w:w="7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2019</w:t>
            </w:r>
          </w:p>
        </w:tc>
      </w:tr>
      <w:tr>
        <w:trPr>
          <w:trHeight w:val="183"/>
        </w:trPr>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Current assets: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4,213</w:t>
            </w:r>
          </w:p>
        </w:tc>
        <w:tc>
          <w:tcPr>
            <w:tcW w:w="620" w:type="dxa"/>
            <w:vAlign w:val="bottom"/>
            <w:gridSpan w:val="2"/>
            <w:shd w:val="clear" w:color="auto" w:fill="CCEEFF"/>
          </w:tcPr>
          <w:p>
            <w:pPr>
              <w:jc w:val="right"/>
              <w:ind w:right="36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3,217</w:t>
            </w:r>
          </w:p>
        </w:tc>
      </w:tr>
      <w:tr>
        <w:trPr>
          <w:trHeight w:val="191"/>
        </w:trPr>
        <w:tc>
          <w:tcPr>
            <w:tcW w:w="7940" w:type="dxa"/>
            <w:vAlign w:val="bottom"/>
          </w:tcPr>
          <w:p>
            <w:pPr>
              <w:ind w:left="140"/>
              <w:spacing w:after="0"/>
              <w:rPr>
                <w:sz w:val="20"/>
                <w:szCs w:val="20"/>
                <w:color w:val="auto"/>
              </w:rPr>
            </w:pPr>
            <w:r>
              <w:rPr>
                <w:rFonts w:ascii="Arial" w:cs="Arial" w:eastAsia="Arial" w:hAnsi="Arial"/>
                <w:sz w:val="16"/>
                <w:szCs w:val="16"/>
                <w:color w:val="auto"/>
              </w:rPr>
              <w:t>Accounts and other receivables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1,865</w:t>
            </w:r>
          </w:p>
        </w:tc>
      </w:tr>
      <w:tr>
        <w:trPr>
          <w:trHeight w:val="191"/>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1,552</w:t>
            </w:r>
          </w:p>
        </w:tc>
      </w:tr>
      <w:tr>
        <w:trPr>
          <w:trHeight w:val="203"/>
        </w:trPr>
        <w:tc>
          <w:tcPr>
            <w:tcW w:w="794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338</w:t>
            </w:r>
          </w:p>
        </w:tc>
      </w:tr>
      <w:tr>
        <w:trPr>
          <w:trHeight w:val="183"/>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8,382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6,972</w:t>
            </w: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1,471</w:t>
            </w:r>
          </w:p>
        </w:tc>
      </w:tr>
      <w:tr>
        <w:trPr>
          <w:trHeight w:val="191"/>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1,537</w:t>
            </w: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Other long-term assets</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527</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420" w:type="dxa"/>
            <w:vAlign w:val="bottom"/>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11,209</w:t>
            </w:r>
          </w:p>
        </w:tc>
        <w:tc>
          <w:tcPr>
            <w:tcW w:w="620" w:type="dxa"/>
            <w:vAlign w:val="bottom"/>
            <w:gridSpan w:val="2"/>
            <w:shd w:val="clear" w:color="auto" w:fill="CCEEFF"/>
          </w:tcPr>
          <w:p>
            <w:pPr>
              <w:jc w:val="right"/>
              <w:ind w:right="36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10,507</w:t>
            </w:r>
          </w:p>
        </w:tc>
      </w:tr>
      <w:tr>
        <w:trPr>
          <w:trHeight w:val="167"/>
        </w:trPr>
        <w:tc>
          <w:tcPr>
            <w:tcW w:w="79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91"/>
        </w:trPr>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Current liabilities: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6,647</w:t>
            </w:r>
          </w:p>
        </w:tc>
        <w:tc>
          <w:tcPr>
            <w:tcW w:w="620" w:type="dxa"/>
            <w:vAlign w:val="bottom"/>
            <w:gridSpan w:val="2"/>
            <w:shd w:val="clear" w:color="auto" w:fill="CCEEFF"/>
          </w:tcPr>
          <w:p>
            <w:pPr>
              <w:jc w:val="right"/>
              <w:ind w:right="36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4,911</w:t>
            </w:r>
          </w:p>
        </w:tc>
      </w:tr>
      <w:tr>
        <w:trPr>
          <w:trHeight w:val="191"/>
        </w:trPr>
        <w:tc>
          <w:tcPr>
            <w:tcW w:w="794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284</w:t>
            </w:r>
          </w:p>
        </w:tc>
      </w:tr>
      <w:tr>
        <w:trPr>
          <w:trHeight w:val="191"/>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loans payable</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191"/>
        </w:trPr>
        <w:tc>
          <w:tcPr>
            <w:tcW w:w="794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236</w:t>
            </w:r>
          </w:p>
        </w:tc>
      </w:tr>
      <w:tr>
        <w:trPr>
          <w:trHeight w:val="183"/>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5,431</w:t>
            </w: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Convertible notes, less current portion, net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67,658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77,343</w:t>
            </w:r>
          </w:p>
        </w:tc>
      </w:tr>
      <w:tr>
        <w:trPr>
          <w:trHeight w:val="191"/>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Derivative and warrant liability</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Operating lease liabilities, less current portion</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1,901</w:t>
            </w:r>
          </w:p>
        </w:tc>
      </w:tr>
      <w:tr>
        <w:trPr>
          <w:trHeight w:val="191"/>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Loans payable, less current portion</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191"/>
        </w:trPr>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w:t>
            </w:r>
          </w:p>
        </w:tc>
      </w:tr>
      <w:tr>
        <w:trPr>
          <w:trHeight w:val="183"/>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77,621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84,963</w:t>
            </w:r>
          </w:p>
        </w:tc>
      </w:tr>
      <w:tr>
        <w:trPr>
          <w:trHeight w:val="183"/>
        </w:trPr>
        <w:tc>
          <w:tcPr>
            <w:tcW w:w="7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1"/>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H)</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7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7940" w:type="dxa"/>
            <w:vAlign w:val="bottom"/>
          </w:tcPr>
          <w:p>
            <w:pPr>
              <w:ind w:left="14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9"/>
        </w:trPr>
        <w:tc>
          <w:tcPr>
            <w:tcW w:w="7940" w:type="dxa"/>
            <w:vAlign w:val="bottom"/>
            <w:shd w:val="clear" w:color="auto" w:fill="CCEEFF"/>
          </w:tcPr>
          <w:p>
            <w:pPr>
              <w:ind w:left="280"/>
              <w:spacing w:after="0" w:line="179" w:lineRule="exact"/>
              <w:rPr>
                <w:sz w:val="20"/>
                <w:szCs w:val="20"/>
                <w:color w:val="auto"/>
              </w:rPr>
            </w:pPr>
            <w:r>
              <w:rPr>
                <w:rFonts w:ascii="Arial" w:cs="Arial" w:eastAsia="Arial" w:hAnsi="Arial"/>
                <w:sz w:val="16"/>
                <w:szCs w:val="16"/>
                <w:color w:val="auto"/>
                <w:w w:val="92"/>
              </w:rPr>
              <w:t>Series A convertible preferred stock, $0.0001 par value, 9,578 shares authorized, 9,577 shares issued and no shares</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4"/>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outstanding as of December 31, 2020 and 2019</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179"/>
        </w:trPr>
        <w:tc>
          <w:tcPr>
            <w:tcW w:w="7940" w:type="dxa"/>
            <w:vAlign w:val="bottom"/>
          </w:tcPr>
          <w:p>
            <w:pPr>
              <w:ind w:left="280"/>
              <w:spacing w:after="0" w:line="179" w:lineRule="exact"/>
              <w:rPr>
                <w:sz w:val="20"/>
                <w:szCs w:val="20"/>
                <w:color w:val="auto"/>
              </w:rPr>
            </w:pPr>
            <w:r>
              <w:rPr>
                <w:rFonts w:ascii="Arial" w:cs="Arial" w:eastAsia="Arial" w:hAnsi="Arial"/>
                <w:sz w:val="16"/>
                <w:szCs w:val="16"/>
                <w:color w:val="auto"/>
                <w:w w:val="90"/>
              </w:rPr>
              <w:t>Series B-1 convertible preferred stock, $0.0001 par value, 1,576 shares authorized, 1,576 shares issued and no shares</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4"/>
        </w:trPr>
        <w:tc>
          <w:tcPr>
            <w:tcW w:w="7940" w:type="dxa"/>
            <w:vAlign w:val="bottom"/>
          </w:tcPr>
          <w:p>
            <w:pPr>
              <w:ind w:left="280"/>
              <w:spacing w:after="0"/>
              <w:rPr>
                <w:sz w:val="20"/>
                <w:szCs w:val="20"/>
                <w:color w:val="auto"/>
              </w:rPr>
            </w:pPr>
            <w:r>
              <w:rPr>
                <w:rFonts w:ascii="Arial" w:cs="Arial" w:eastAsia="Arial" w:hAnsi="Arial"/>
                <w:sz w:val="16"/>
                <w:szCs w:val="16"/>
                <w:color w:val="auto"/>
              </w:rPr>
              <w:t>outstanding as of December 31, 2020 and 2019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79"/>
        </w:trPr>
        <w:tc>
          <w:tcPr>
            <w:tcW w:w="7940" w:type="dxa"/>
            <w:vAlign w:val="bottom"/>
            <w:shd w:val="clear" w:color="auto" w:fill="CCEEFF"/>
          </w:tcPr>
          <w:p>
            <w:pPr>
              <w:ind w:left="280"/>
              <w:spacing w:after="0" w:line="179" w:lineRule="exact"/>
              <w:rPr>
                <w:sz w:val="20"/>
                <w:szCs w:val="20"/>
                <w:color w:val="auto"/>
              </w:rPr>
            </w:pPr>
            <w:r>
              <w:rPr>
                <w:rFonts w:ascii="Arial" w:cs="Arial" w:eastAsia="Arial" w:hAnsi="Arial"/>
                <w:sz w:val="16"/>
                <w:szCs w:val="16"/>
                <w:color w:val="auto"/>
                <w:w w:val="89"/>
              </w:rPr>
              <w:t>Series B-2 convertible preferred stock, $0.0001 par value, 27,000 shares authorized, no shares issued or outstanding as</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4"/>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of December 31, 2020 and 2019</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179"/>
        </w:trPr>
        <w:tc>
          <w:tcPr>
            <w:tcW w:w="7940" w:type="dxa"/>
            <w:vAlign w:val="bottom"/>
          </w:tcPr>
          <w:p>
            <w:pPr>
              <w:ind w:left="280"/>
              <w:spacing w:after="0" w:line="179" w:lineRule="exact"/>
              <w:rPr>
                <w:sz w:val="20"/>
                <w:szCs w:val="20"/>
                <w:color w:val="auto"/>
              </w:rPr>
            </w:pPr>
            <w:r>
              <w:rPr>
                <w:rFonts w:ascii="Arial" w:cs="Arial" w:eastAsia="Arial" w:hAnsi="Arial"/>
                <w:sz w:val="16"/>
                <w:szCs w:val="16"/>
                <w:color w:val="auto"/>
                <w:w w:val="91"/>
              </w:rPr>
              <w:t>Undesignated preferred stock, $0.0001 par value, 9,961,846 shares authorized, no shares issued or outstanding as of</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4"/>
        </w:trPr>
        <w:tc>
          <w:tcPr>
            <w:tcW w:w="7940" w:type="dxa"/>
            <w:vAlign w:val="bottom"/>
          </w:tcPr>
          <w:p>
            <w:pPr>
              <w:ind w:left="280"/>
              <w:spacing w:after="0"/>
              <w:rPr>
                <w:sz w:val="20"/>
                <w:szCs w:val="20"/>
                <w:color w:val="auto"/>
              </w:rPr>
            </w:pPr>
            <w:r>
              <w:rPr>
                <w:rFonts w:ascii="Arial" w:cs="Arial" w:eastAsia="Arial" w:hAnsi="Arial"/>
                <w:sz w:val="16"/>
                <w:szCs w:val="16"/>
                <w:color w:val="auto"/>
              </w:rPr>
              <w:t>December 31, 2020 and 2019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79"/>
        </w:trPr>
        <w:tc>
          <w:tcPr>
            <w:tcW w:w="79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95"/>
              </w:rPr>
              <w:t>Common stock, $0.0001 par value, 250,000,000 shares authorized, 4,537,321 shares issued and outstanding as of</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4"/>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 2,271,882 shares issued and outstanding as of December 31, 2019</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r>
      <w:tr>
        <w:trPr>
          <w:trHeight w:val="191"/>
        </w:trPr>
        <w:tc>
          <w:tcPr>
            <w:tcW w:w="79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192,062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171,258</w:t>
            </w:r>
          </w:p>
        </w:tc>
      </w:tr>
      <w:tr>
        <w:trPr>
          <w:trHeight w:val="191"/>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(258,474)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(245,714)</w:t>
            </w:r>
          </w:p>
        </w:tc>
      </w:tr>
      <w:tr>
        <w:trPr>
          <w:trHeight w:val="183"/>
        </w:trPr>
        <w:tc>
          <w:tcPr>
            <w:tcW w:w="7940" w:type="dxa"/>
            <w:vAlign w:val="bottom"/>
          </w:tcPr>
          <w:p>
            <w:pPr>
              <w:ind w:left="280"/>
              <w:spacing w:after="0"/>
              <w:rPr>
                <w:sz w:val="20"/>
                <w:szCs w:val="20"/>
                <w:color w:val="auto"/>
              </w:rPr>
            </w:pPr>
            <w:r>
              <w:rPr>
                <w:rFonts w:ascii="Arial" w:cs="Arial" w:eastAsia="Arial" w:hAnsi="Arial"/>
                <w:sz w:val="16"/>
                <w:szCs w:val="16"/>
                <w:color w:val="auto"/>
              </w:rPr>
              <w:t>Total stockholders' deficit</w:t>
            </w: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(66,412)</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(74,456)</w:t>
            </w:r>
          </w:p>
        </w:tc>
      </w:tr>
      <w:tr>
        <w:trPr>
          <w:trHeight w:val="223"/>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deficit</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11,209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10,507</w:t>
            </w: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6"/>
          <w:szCs w:val="16"/>
          <w:b w:val="1"/>
          <w:bCs w:val="1"/>
          <w:color w:val="auto"/>
        </w:rPr>
        <w:t>KEMPHARM,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6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rPr>
              <w:t>2019</w:t>
            </w:r>
          </w:p>
        </w:tc>
      </w:tr>
      <w:tr>
        <w:trPr>
          <w:trHeight w:val="18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13,288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12,839</w:t>
            </w: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Operating expenses:</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Royalty and direct contract acquisition costs</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2,945</w:t>
            </w:r>
          </w:p>
        </w:tc>
      </w:tr>
      <w:tr>
        <w:trPr>
          <w:trHeight w:val="191"/>
        </w:trPr>
        <w:tc>
          <w:tcPr>
            <w:tcW w:w="64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8,843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19,415</w:t>
            </w:r>
          </w:p>
        </w:tc>
      </w:tr>
      <w:tr>
        <w:trPr>
          <w:trHeight w:val="191"/>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10,816</w:t>
            </w:r>
          </w:p>
        </w:tc>
      </w:tr>
      <w:tr>
        <w:trPr>
          <w:trHeight w:val="191"/>
        </w:trPr>
        <w:tc>
          <w:tcPr>
            <w:tcW w:w="6460" w:type="dxa"/>
            <w:vAlign w:val="bottom"/>
          </w:tcPr>
          <w:p>
            <w:pPr>
              <w:ind w:left="140"/>
              <w:spacing w:after="0"/>
              <w:rPr>
                <w:sz w:val="20"/>
                <w:szCs w:val="20"/>
                <w:color w:val="auto"/>
              </w:rPr>
            </w:pPr>
            <w:r>
              <w:rPr>
                <w:rFonts w:ascii="Arial" w:cs="Arial" w:eastAsia="Arial" w:hAnsi="Arial"/>
                <w:sz w:val="16"/>
                <w:szCs w:val="16"/>
                <w:color w:val="auto"/>
              </w:rPr>
              <w:t>Severance expense</w:t>
            </w:r>
          </w:p>
        </w:tc>
        <w:tc>
          <w:tcPr>
            <w:tcW w:w="1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1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18,897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33,176</w:t>
            </w:r>
          </w:p>
        </w:tc>
      </w:tr>
      <w:tr>
        <w:trPr>
          <w:trHeight w:val="183"/>
        </w:trPr>
        <w:tc>
          <w:tcPr>
            <w:tcW w:w="6460" w:type="dxa"/>
            <w:vAlign w:val="bottom"/>
          </w:tcPr>
          <w:p>
            <w:pPr>
              <w:spacing w:after="0"/>
              <w:rPr>
                <w:sz w:val="20"/>
                <w:szCs w:val="20"/>
                <w:color w:val="auto"/>
              </w:rPr>
            </w:pPr>
            <w:r>
              <w:rPr>
                <w:rFonts w:ascii="Arial" w:cs="Arial" w:eastAsia="Arial" w:hAnsi="Arial"/>
                <w:sz w:val="16"/>
                <w:szCs w:val="16"/>
                <w:color w:val="auto"/>
              </w:rPr>
              <w:t>Loss from operations</w:t>
            </w:r>
          </w:p>
        </w:tc>
        <w:tc>
          <w:tcPr>
            <w:tcW w:w="1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(20,337)</w:t>
            </w:r>
          </w:p>
        </w:tc>
      </w:tr>
      <w:tr>
        <w:trPr>
          <w:trHeight w:val="18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1"/>
        </w:trPr>
        <w:tc>
          <w:tcPr>
            <w:tcW w:w="6460" w:type="dxa"/>
            <w:vAlign w:val="bottom"/>
          </w:tcPr>
          <w:p>
            <w:pPr>
              <w:ind w:left="140"/>
              <w:spacing w:after="0"/>
              <w:rPr>
                <w:sz w:val="20"/>
                <w:szCs w:val="20"/>
                <w:color w:val="auto"/>
              </w:rPr>
            </w:pPr>
            <w:r>
              <w:rPr>
                <w:rFonts w:ascii="Arial" w:cs="Arial" w:eastAsia="Arial" w:hAnsi="Arial"/>
                <w:sz w:val="16"/>
                <w:szCs w:val="16"/>
                <w:color w:val="auto"/>
              </w:rPr>
              <w:t>Interest expense related to amortization of debt issuance costs and discount</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(1,656)</w:t>
            </w:r>
          </w:p>
        </w:tc>
      </w:tr>
      <w:tr>
        <w:trPr>
          <w:trHeight w:val="191"/>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principal</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w:t>
            </w:r>
          </w:p>
        </w:tc>
      </w:tr>
      <w:tr>
        <w:trPr>
          <w:trHeight w:val="191"/>
        </w:trPr>
        <w:tc>
          <w:tcPr>
            <w:tcW w:w="6460" w:type="dxa"/>
            <w:vAlign w:val="bottom"/>
          </w:tcPr>
          <w:p>
            <w:pPr>
              <w:ind w:left="140"/>
              <w:spacing w:after="0"/>
              <w:rPr>
                <w:sz w:val="20"/>
                <w:szCs w:val="20"/>
                <w:color w:val="auto"/>
              </w:rPr>
            </w:pPr>
            <w:r>
              <w:rPr>
                <w:rFonts w:ascii="Arial" w:cs="Arial" w:eastAsia="Arial" w:hAnsi="Arial"/>
                <w:sz w:val="16"/>
                <w:szCs w:val="16"/>
                <w:color w:val="auto"/>
              </w:rPr>
              <w:t>Fair value adjustment related to derivative and warrant liability</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1,998</w:t>
            </w:r>
          </w:p>
        </w:tc>
      </w:tr>
      <w:tr>
        <w:trPr>
          <w:trHeight w:val="191"/>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and other income, net</w:t>
            </w:r>
          </w:p>
        </w:tc>
        <w:tc>
          <w:tcPr>
            <w:tcW w:w="15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309</w:t>
            </w:r>
          </w:p>
        </w:tc>
      </w:tr>
      <w:tr>
        <w:trPr>
          <w:trHeight w:val="183"/>
        </w:trPr>
        <w:tc>
          <w:tcPr>
            <w:tcW w:w="6460" w:type="dxa"/>
            <w:vAlign w:val="bottom"/>
          </w:tcPr>
          <w:p>
            <w:pPr>
              <w:ind w:left="280"/>
              <w:spacing w:after="0"/>
              <w:rPr>
                <w:sz w:val="20"/>
                <w:szCs w:val="20"/>
                <w:color w:val="auto"/>
              </w:rPr>
            </w:pPr>
            <w:r>
              <w:rPr>
                <w:rFonts w:ascii="Arial" w:cs="Arial" w:eastAsia="Arial" w:hAnsi="Arial"/>
                <w:sz w:val="16"/>
                <w:szCs w:val="16"/>
                <w:color w:val="auto"/>
              </w:rPr>
              <w:t>Total other (expense) income</w:t>
            </w:r>
          </w:p>
        </w:tc>
        <w:tc>
          <w:tcPr>
            <w:tcW w:w="1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w:t>
            </w:r>
          </w:p>
        </w:tc>
      </w:tr>
      <w:tr>
        <w:trPr>
          <w:trHeight w:val="18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(24,544)</w:t>
            </w: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Income tax benefit</w:t>
            </w:r>
          </w:p>
        </w:tc>
        <w:tc>
          <w:tcPr>
            <w:tcW w:w="1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w:t>
            </w:r>
          </w:p>
        </w:tc>
      </w:tr>
      <w:tr>
        <w:trPr>
          <w:trHeight w:val="22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(24,522)</w:t>
            </w:r>
          </w:p>
        </w:tc>
      </w:tr>
      <w:tr>
        <w:trPr>
          <w:trHeight w:val="167"/>
        </w:trPr>
        <w:tc>
          <w:tcPr>
            <w:tcW w:w="646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of common stock:</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1"/>
        </w:trPr>
        <w:tc>
          <w:tcPr>
            <w:tcW w:w="6460" w:type="dxa"/>
            <w:vAlign w:val="bottom"/>
          </w:tcPr>
          <w:p>
            <w:pPr>
              <w:ind w:left="140"/>
              <w:spacing w:after="0"/>
              <w:rPr>
                <w:sz w:val="20"/>
                <w:szCs w:val="20"/>
                <w:color w:val="auto"/>
              </w:rPr>
            </w:pPr>
            <w:r>
              <w:rPr>
                <w:rFonts w:ascii="Arial" w:cs="Arial" w:eastAsia="Arial" w:hAnsi="Arial"/>
                <w:sz w:val="16"/>
                <w:szCs w:val="16"/>
                <w:color w:val="auto"/>
              </w:rPr>
              <w:t>Basic and diluted</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(3.21)</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0"/>
        </w:trPr>
        <w:tc>
          <w:tcPr>
            <w:tcW w:w="6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4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Weighted average number of shares of common stock outstanding:</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1"/>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and diluted</w:t>
            </w:r>
          </w:p>
        </w:tc>
        <w:tc>
          <w:tcPr>
            <w:tcW w:w="15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3,980,975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1,853,397</w:t>
            </w: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6"/>
          <w:szCs w:val="16"/>
          <w:b w:val="1"/>
          <w:bCs w:val="1"/>
          <w:color w:val="auto"/>
        </w:rPr>
        <w:t>KEMPHARM,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CHANGES IN STOCKHOLDERS’ DEFICIT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Series B-1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Series B-2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8"/>
              </w:rPr>
              <w:t>Undesignated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0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74"/>
        </w:trPr>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0"/>
              </w:rPr>
              <w:t>Balance as of January 1, 2019</w:t>
            </w:r>
          </w:p>
        </w:tc>
        <w:tc>
          <w:tcPr>
            <w:tcW w:w="3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96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96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154,626</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(221,192)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(66,566)</w:t>
            </w:r>
          </w:p>
        </w:tc>
        <w:tc>
          <w:tcPr>
            <w:tcW w:w="0" w:type="dxa"/>
            <w:vAlign w:val="bottom"/>
          </w:tcPr>
          <w:p>
            <w:pPr>
              <w:spacing w:after="0"/>
              <w:rPr>
                <w:sz w:val="1"/>
                <w:szCs w:val="1"/>
                <w:color w:val="auto"/>
              </w:rPr>
            </w:pPr>
          </w:p>
        </w:tc>
      </w:tr>
      <w:tr>
        <w:trPr>
          <w:trHeight w:val="171"/>
        </w:trPr>
        <w:tc>
          <w:tcPr>
            <w:tcW w:w="880" w:type="dxa"/>
            <w:vAlign w:val="bottom"/>
            <w:tcBorders>
              <w:top w:val="single" w:sz="8" w:color="CCEEFF"/>
            </w:tcBorders>
          </w:tcPr>
          <w:p>
            <w:pPr>
              <w:ind w:left="140"/>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(24,522)</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(24,522)</w:t>
            </w:r>
          </w:p>
        </w:tc>
        <w:tc>
          <w:tcPr>
            <w:tcW w:w="0" w:type="dxa"/>
            <w:vAlign w:val="bottom"/>
          </w:tcPr>
          <w:p>
            <w:pPr>
              <w:spacing w:after="0"/>
              <w:rPr>
                <w:sz w:val="1"/>
                <w:szCs w:val="1"/>
                <w:color w:val="auto"/>
              </w:rPr>
            </w:pPr>
          </w:p>
        </w:tc>
      </w:tr>
      <w:tr>
        <w:trPr>
          <w:trHeight w:val="179"/>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171"/>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Issuance  of  common  stock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connection with equity line of credit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5,446</w:t>
            </w:r>
          </w:p>
        </w:tc>
        <w:tc>
          <w:tcPr>
            <w:tcW w:w="0" w:type="dxa"/>
            <w:vAlign w:val="bottom"/>
          </w:tcPr>
          <w:p>
            <w:pPr>
              <w:spacing w:after="0"/>
              <w:rPr>
                <w:sz w:val="1"/>
                <w:szCs w:val="1"/>
                <w:color w:val="auto"/>
              </w:rPr>
            </w:pPr>
          </w:p>
        </w:tc>
      </w:tr>
      <w:tr>
        <w:trPr>
          <w:trHeight w:val="174"/>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Issuance  of  common  stock  in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connection with Deerfield Optional</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Conversion Feature</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71"/>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Issuance  of  common  stock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80" w:type="dxa"/>
            <w:vAlign w:val="bottom"/>
          </w:tcPr>
          <w:p>
            <w:pPr>
              <w:ind w:left="140"/>
              <w:spacing w:after="0"/>
              <w:rPr>
                <w:sz w:val="20"/>
                <w:szCs w:val="20"/>
                <w:color w:val="auto"/>
              </w:rPr>
            </w:pPr>
            <w:r>
              <w:rPr>
                <w:rFonts w:ascii="Arial" w:cs="Arial" w:eastAsia="Arial" w:hAnsi="Arial"/>
                <w:sz w:val="14"/>
                <w:szCs w:val="14"/>
                <w:color w:val="auto"/>
              </w:rPr>
              <w:t>connection</w:t>
            </w:r>
          </w:p>
        </w:tc>
        <w:tc>
          <w:tcPr>
            <w:tcW w:w="300" w:type="dxa"/>
            <w:vAlign w:val="bottom"/>
          </w:tcPr>
          <w:p>
            <w:pPr>
              <w:ind w:left="40"/>
              <w:spacing w:after="0"/>
              <w:rPr>
                <w:sz w:val="20"/>
                <w:szCs w:val="20"/>
                <w:color w:val="auto"/>
              </w:rPr>
            </w:pPr>
            <w:r>
              <w:rPr>
                <w:rFonts w:ascii="Arial" w:cs="Arial" w:eastAsia="Arial" w:hAnsi="Arial"/>
                <w:sz w:val="14"/>
                <w:szCs w:val="14"/>
                <w:color w:val="auto"/>
                <w:w w:val="96"/>
              </w:rPr>
              <w:t>with</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conversion</w:t>
            </w:r>
          </w:p>
        </w:tc>
        <w:tc>
          <w:tcPr>
            <w:tcW w:w="1140" w:type="dxa"/>
            <w:vAlign w:val="bottom"/>
            <w:gridSpan w:val="2"/>
          </w:tcPr>
          <w:p>
            <w:pPr>
              <w:jc w:val="right"/>
              <w:ind w:right="908"/>
              <w:spacing w:after="0"/>
              <w:rPr>
                <w:sz w:val="20"/>
                <w:szCs w:val="20"/>
                <w:color w:val="auto"/>
              </w:rPr>
            </w:pPr>
            <w:r>
              <w:rPr>
                <w:rFonts w:ascii="Arial" w:cs="Arial" w:eastAsia="Arial" w:hAnsi="Arial"/>
                <w:sz w:val="14"/>
                <w:szCs w:val="14"/>
                <w:color w:val="auto"/>
              </w:rPr>
              <w:t>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40" w:type="dxa"/>
            <w:vAlign w:val="bottom"/>
            <w:gridSpan w:val="3"/>
          </w:tcPr>
          <w:p>
            <w:pPr>
              <w:ind w:left="140"/>
              <w:spacing w:after="0"/>
              <w:rPr>
                <w:sz w:val="20"/>
                <w:szCs w:val="20"/>
                <w:color w:val="auto"/>
              </w:rPr>
            </w:pPr>
            <w:r>
              <w:rPr>
                <w:rFonts w:ascii="Arial" w:cs="Arial" w:eastAsia="Arial" w:hAnsi="Arial"/>
                <w:sz w:val="14"/>
                <w:szCs w:val="14"/>
                <w:color w:val="auto"/>
              </w:rPr>
              <w:t>principal on 2021 Notes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74"/>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Change in fair value of embedded</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conversion</w:t>
            </w:r>
          </w:p>
        </w:tc>
        <w:tc>
          <w:tcPr>
            <w:tcW w:w="2340" w:type="dxa"/>
            <w:vAlign w:val="bottom"/>
            <w:gridSpan w:val="5"/>
            <w:shd w:val="clear" w:color="auto" w:fill="CCEEFF"/>
          </w:tcPr>
          <w:p>
            <w:pPr>
              <w:jc w:val="right"/>
              <w:ind w:right="888"/>
              <w:spacing w:after="0"/>
              <w:rPr>
                <w:sz w:val="20"/>
                <w:szCs w:val="20"/>
                <w:color w:val="auto"/>
              </w:rPr>
            </w:pPr>
            <w:r>
              <w:rPr>
                <w:rFonts w:ascii="Arial" w:cs="Arial" w:eastAsia="Arial" w:hAnsi="Arial"/>
                <w:sz w:val="14"/>
                <w:szCs w:val="14"/>
                <w:color w:val="auto"/>
                <w:w w:val="98"/>
              </w:rPr>
              <w:t>feature  in  connection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with debt modification</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71"/>
        </w:trPr>
        <w:tc>
          <w:tcPr>
            <w:tcW w:w="880" w:type="dxa"/>
            <w:vAlign w:val="bottom"/>
          </w:tcPr>
          <w:p>
            <w:pPr>
              <w:ind w:left="140"/>
              <w:spacing w:after="0"/>
              <w:rPr>
                <w:sz w:val="20"/>
                <w:szCs w:val="20"/>
                <w:color w:val="auto"/>
              </w:rPr>
            </w:pPr>
            <w:r>
              <w:rPr>
                <w:rFonts w:ascii="Arial" w:cs="Arial" w:eastAsia="Arial" w:hAnsi="Arial"/>
                <w:sz w:val="14"/>
                <w:szCs w:val="14"/>
                <w:color w:val="auto"/>
                <w:w w:val="97"/>
              </w:rPr>
              <w:t>Recognition</w:t>
            </w:r>
          </w:p>
        </w:tc>
        <w:tc>
          <w:tcPr>
            <w:tcW w:w="300" w:type="dxa"/>
            <w:vAlign w:val="bottom"/>
          </w:tcPr>
          <w:p>
            <w:pPr>
              <w:ind w:left="80"/>
              <w:spacing w:after="0"/>
              <w:rPr>
                <w:sz w:val="20"/>
                <w:szCs w:val="20"/>
                <w:color w:val="auto"/>
              </w:rPr>
            </w:pPr>
            <w:r>
              <w:rPr>
                <w:rFonts w:ascii="Arial" w:cs="Arial" w:eastAsia="Arial" w:hAnsi="Arial"/>
                <w:sz w:val="14"/>
                <w:szCs w:val="14"/>
                <w:color w:val="auto"/>
              </w:rPr>
              <w:t>of</w:t>
            </w:r>
          </w:p>
        </w:tc>
        <w:tc>
          <w:tcPr>
            <w:tcW w:w="560" w:type="dxa"/>
            <w:vAlign w:val="bottom"/>
          </w:tcPr>
          <w:p>
            <w:pPr>
              <w:ind w:left="20"/>
              <w:spacing w:after="0"/>
              <w:rPr>
                <w:sz w:val="20"/>
                <w:szCs w:val="20"/>
                <w:color w:val="auto"/>
              </w:rPr>
            </w:pPr>
            <w:r>
              <w:rPr>
                <w:rFonts w:ascii="Arial" w:cs="Arial" w:eastAsia="Arial" w:hAnsi="Arial"/>
                <w:sz w:val="14"/>
                <w:szCs w:val="14"/>
                <w:color w:val="auto"/>
                <w:w w:val="99"/>
              </w:rPr>
              <w:t>deferred</w:t>
            </w:r>
          </w:p>
        </w:tc>
        <w:tc>
          <w:tcPr>
            <w:tcW w:w="1480" w:type="dxa"/>
            <w:vAlign w:val="bottom"/>
            <w:gridSpan w:val="3"/>
          </w:tcPr>
          <w:p>
            <w:pPr>
              <w:jc w:val="right"/>
              <w:ind w:right="908"/>
              <w:spacing w:after="0"/>
              <w:rPr>
                <w:sz w:val="20"/>
                <w:szCs w:val="20"/>
                <w:color w:val="auto"/>
              </w:rPr>
            </w:pPr>
            <w:r>
              <w:rPr>
                <w:rFonts w:ascii="Arial" w:cs="Arial" w:eastAsia="Arial" w:hAnsi="Arial"/>
                <w:sz w:val="14"/>
                <w:szCs w:val="14"/>
                <w:color w:val="auto"/>
              </w:rPr>
              <w:t>offering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costs in connection with equity line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 w:type="dxa"/>
            <w:vAlign w:val="bottom"/>
          </w:tcPr>
          <w:p>
            <w:pPr>
              <w:ind w:left="140"/>
              <w:spacing w:after="0"/>
              <w:rPr>
                <w:sz w:val="20"/>
                <w:szCs w:val="20"/>
                <w:color w:val="auto"/>
              </w:rPr>
            </w:pPr>
            <w:r>
              <w:rPr>
                <w:rFonts w:ascii="Arial" w:cs="Arial" w:eastAsia="Arial" w:hAnsi="Arial"/>
                <w:sz w:val="14"/>
                <w:szCs w:val="14"/>
                <w:color w:val="auto"/>
              </w:rPr>
              <w:t>of credit</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2"/>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Offering expenses charged to equity</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1"/>
        </w:trPr>
        <w:tc>
          <w:tcPr>
            <w:tcW w:w="880" w:type="dxa"/>
            <w:vAlign w:val="bottom"/>
          </w:tcPr>
          <w:p>
            <w:pPr>
              <w:ind w:left="140"/>
              <w:spacing w:after="0"/>
              <w:rPr>
                <w:sz w:val="20"/>
                <w:szCs w:val="20"/>
                <w:color w:val="auto"/>
              </w:rPr>
            </w:pPr>
            <w:r>
              <w:rPr>
                <w:rFonts w:ascii="Arial" w:cs="Arial" w:eastAsia="Arial" w:hAnsi="Arial"/>
                <w:sz w:val="14"/>
                <w:szCs w:val="14"/>
                <w:color w:val="auto"/>
              </w:rPr>
              <w:t>Change   in</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estimated</w:t>
            </w:r>
          </w:p>
        </w:tc>
        <w:tc>
          <w:tcPr>
            <w:tcW w:w="1480" w:type="dxa"/>
            <w:vAlign w:val="bottom"/>
            <w:gridSpan w:val="3"/>
          </w:tcPr>
          <w:p>
            <w:pPr>
              <w:jc w:val="right"/>
              <w:ind w:right="888"/>
              <w:spacing w:after="0"/>
              <w:rPr>
                <w:sz w:val="20"/>
                <w:szCs w:val="20"/>
                <w:color w:val="auto"/>
              </w:rPr>
            </w:pPr>
            <w:r>
              <w:rPr>
                <w:rFonts w:ascii="Arial" w:cs="Arial" w:eastAsia="Arial" w:hAnsi="Arial"/>
                <w:sz w:val="14"/>
                <w:szCs w:val="14"/>
                <w:color w:val="auto"/>
                <w:w w:val="95"/>
              </w:rPr>
              <w:t>deferred</w:t>
            </w:r>
          </w:p>
        </w:tc>
        <w:tc>
          <w:tcPr>
            <w:tcW w:w="180" w:type="dxa"/>
            <w:vAlign w:val="bottom"/>
            <w:vMerge w:val="restart"/>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vMerge w:val="restart"/>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6"/>
        </w:trPr>
        <w:tc>
          <w:tcPr>
            <w:tcW w:w="1180" w:type="dxa"/>
            <w:vAlign w:val="bottom"/>
            <w:gridSpan w:val="2"/>
          </w:tcPr>
          <w:p>
            <w:pPr>
              <w:ind w:left="140"/>
              <w:spacing w:after="0"/>
              <w:rPr>
                <w:sz w:val="20"/>
                <w:szCs w:val="20"/>
                <w:color w:val="auto"/>
              </w:rPr>
            </w:pPr>
            <w:r>
              <w:rPr>
                <w:rFonts w:ascii="Arial" w:cs="Arial" w:eastAsia="Arial" w:hAnsi="Arial"/>
                <w:sz w:val="14"/>
                <w:szCs w:val="14"/>
                <w:color w:val="auto"/>
              </w:rPr>
              <w:t>offering costs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7"/>
              </w:rPr>
              <w:t>Balance as of December 31, 2019</w:t>
            </w:r>
          </w:p>
        </w:tc>
        <w:tc>
          <w:tcPr>
            <w:tcW w:w="114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96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96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171,258</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(245,714)</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(74,456)</w:t>
            </w:r>
          </w:p>
        </w:tc>
        <w:tc>
          <w:tcPr>
            <w:tcW w:w="0" w:type="dxa"/>
            <w:vAlign w:val="bottom"/>
          </w:tcPr>
          <w:p>
            <w:pPr>
              <w:spacing w:after="0"/>
              <w:rPr>
                <w:sz w:val="1"/>
                <w:szCs w:val="1"/>
                <w:color w:val="auto"/>
              </w:rPr>
            </w:pPr>
          </w:p>
        </w:tc>
      </w:tr>
      <w:tr>
        <w:trPr>
          <w:trHeight w:val="171"/>
        </w:trPr>
        <w:tc>
          <w:tcPr>
            <w:tcW w:w="880" w:type="dxa"/>
            <w:vAlign w:val="bottom"/>
            <w:tcBorders>
              <w:top w:val="single" w:sz="8" w:color="CCEEFF"/>
            </w:tcBorders>
          </w:tcPr>
          <w:p>
            <w:pPr>
              <w:ind w:left="140"/>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(12,760)</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(12,760)</w:t>
            </w:r>
          </w:p>
        </w:tc>
        <w:tc>
          <w:tcPr>
            <w:tcW w:w="0" w:type="dxa"/>
            <w:vAlign w:val="bottom"/>
          </w:tcPr>
          <w:p>
            <w:pPr>
              <w:spacing w:after="0"/>
              <w:rPr>
                <w:sz w:val="1"/>
                <w:szCs w:val="1"/>
                <w:color w:val="auto"/>
              </w:rPr>
            </w:pPr>
          </w:p>
        </w:tc>
      </w:tr>
      <w:tr>
        <w:trPr>
          <w:trHeight w:val="179"/>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171"/>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Issuance  of  common  stock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connection with equity line of credit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2,303</w:t>
            </w:r>
          </w:p>
        </w:tc>
        <w:tc>
          <w:tcPr>
            <w:tcW w:w="0" w:type="dxa"/>
            <w:vAlign w:val="bottom"/>
          </w:tcPr>
          <w:p>
            <w:pPr>
              <w:spacing w:after="0"/>
              <w:rPr>
                <w:sz w:val="1"/>
                <w:szCs w:val="1"/>
                <w:color w:val="auto"/>
              </w:rPr>
            </w:pPr>
          </w:p>
        </w:tc>
      </w:tr>
      <w:tr>
        <w:trPr>
          <w:trHeight w:val="174"/>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Issuance  of  common  stock  in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connection with Deerfield Optional</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Conversion Feature</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15,863</w:t>
            </w:r>
          </w:p>
        </w:tc>
        <w:tc>
          <w:tcPr>
            <w:tcW w:w="0" w:type="dxa"/>
            <w:vAlign w:val="bottom"/>
          </w:tcPr>
          <w:p>
            <w:pPr>
              <w:spacing w:after="0"/>
              <w:rPr>
                <w:sz w:val="1"/>
                <w:szCs w:val="1"/>
                <w:color w:val="auto"/>
              </w:rPr>
            </w:pPr>
          </w:p>
        </w:tc>
      </w:tr>
      <w:tr>
        <w:trPr>
          <w:trHeight w:val="171"/>
        </w:trPr>
        <w:tc>
          <w:tcPr>
            <w:tcW w:w="880" w:type="dxa"/>
            <w:vAlign w:val="bottom"/>
          </w:tcPr>
          <w:p>
            <w:pPr>
              <w:ind w:left="140"/>
              <w:spacing w:after="0"/>
              <w:rPr>
                <w:sz w:val="20"/>
                <w:szCs w:val="20"/>
                <w:color w:val="auto"/>
              </w:rPr>
            </w:pPr>
            <w:r>
              <w:rPr>
                <w:rFonts w:ascii="Arial" w:cs="Arial" w:eastAsia="Arial" w:hAnsi="Arial"/>
                <w:sz w:val="14"/>
                <w:szCs w:val="14"/>
                <w:color w:val="auto"/>
                <w:w w:val="97"/>
              </w:rPr>
              <w:t>Recognition</w:t>
            </w:r>
          </w:p>
        </w:tc>
        <w:tc>
          <w:tcPr>
            <w:tcW w:w="300" w:type="dxa"/>
            <w:vAlign w:val="bottom"/>
          </w:tcPr>
          <w:p>
            <w:pPr>
              <w:ind w:left="80"/>
              <w:spacing w:after="0"/>
              <w:rPr>
                <w:sz w:val="20"/>
                <w:szCs w:val="20"/>
                <w:color w:val="auto"/>
              </w:rPr>
            </w:pPr>
            <w:r>
              <w:rPr>
                <w:rFonts w:ascii="Arial" w:cs="Arial" w:eastAsia="Arial" w:hAnsi="Arial"/>
                <w:sz w:val="14"/>
                <w:szCs w:val="14"/>
                <w:color w:val="auto"/>
              </w:rPr>
              <w:t>of</w:t>
            </w:r>
          </w:p>
        </w:tc>
        <w:tc>
          <w:tcPr>
            <w:tcW w:w="560" w:type="dxa"/>
            <w:vAlign w:val="bottom"/>
          </w:tcPr>
          <w:p>
            <w:pPr>
              <w:ind w:left="20"/>
              <w:spacing w:after="0"/>
              <w:rPr>
                <w:sz w:val="20"/>
                <w:szCs w:val="20"/>
                <w:color w:val="auto"/>
              </w:rPr>
            </w:pPr>
            <w:r>
              <w:rPr>
                <w:rFonts w:ascii="Arial" w:cs="Arial" w:eastAsia="Arial" w:hAnsi="Arial"/>
                <w:sz w:val="14"/>
                <w:szCs w:val="14"/>
                <w:color w:val="auto"/>
                <w:w w:val="99"/>
              </w:rPr>
              <w:t>deferred</w:t>
            </w:r>
          </w:p>
        </w:tc>
        <w:tc>
          <w:tcPr>
            <w:tcW w:w="1480" w:type="dxa"/>
            <w:vAlign w:val="bottom"/>
            <w:gridSpan w:val="3"/>
          </w:tcPr>
          <w:p>
            <w:pPr>
              <w:jc w:val="right"/>
              <w:ind w:right="908"/>
              <w:spacing w:after="0"/>
              <w:rPr>
                <w:sz w:val="20"/>
                <w:szCs w:val="20"/>
                <w:color w:val="auto"/>
              </w:rPr>
            </w:pPr>
            <w:r>
              <w:rPr>
                <w:rFonts w:ascii="Arial" w:cs="Arial" w:eastAsia="Arial" w:hAnsi="Arial"/>
                <w:sz w:val="14"/>
                <w:szCs w:val="14"/>
                <w:color w:val="auto"/>
              </w:rPr>
              <w:t>offering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costs in connection with equity line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 w:type="dxa"/>
            <w:vAlign w:val="bottom"/>
          </w:tcPr>
          <w:p>
            <w:pPr>
              <w:ind w:left="140"/>
              <w:spacing w:after="0"/>
              <w:rPr>
                <w:sz w:val="20"/>
                <w:szCs w:val="20"/>
                <w:color w:val="auto"/>
              </w:rPr>
            </w:pPr>
            <w:r>
              <w:rPr>
                <w:rFonts w:ascii="Arial" w:cs="Arial" w:eastAsia="Arial" w:hAnsi="Arial"/>
                <w:sz w:val="14"/>
                <w:szCs w:val="14"/>
                <w:color w:val="auto"/>
              </w:rPr>
              <w:t>of credit</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2"/>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Offering expenses charged to equity</w:t>
            </w: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71"/>
        </w:trPr>
        <w:tc>
          <w:tcPr>
            <w:tcW w:w="3220" w:type="dxa"/>
            <w:vAlign w:val="bottom"/>
            <w:gridSpan w:val="6"/>
          </w:tcPr>
          <w:p>
            <w:pPr>
              <w:ind w:left="140"/>
              <w:spacing w:after="0"/>
              <w:rPr>
                <w:sz w:val="20"/>
                <w:szCs w:val="20"/>
                <w:color w:val="auto"/>
              </w:rPr>
            </w:pPr>
            <w:r>
              <w:rPr>
                <w:rFonts w:ascii="Arial" w:cs="Arial" w:eastAsia="Arial" w:hAnsi="Arial"/>
                <w:sz w:val="14"/>
                <w:szCs w:val="14"/>
                <w:color w:val="auto"/>
              </w:rPr>
              <w:t>Issuance  of  common  stock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gridSpan w:val="4"/>
          </w:tcPr>
          <w:p>
            <w:pPr>
              <w:ind w:left="140"/>
              <w:spacing w:after="0"/>
              <w:rPr>
                <w:sz w:val="20"/>
                <w:szCs w:val="20"/>
                <w:color w:val="auto"/>
              </w:rPr>
            </w:pPr>
            <w:r>
              <w:rPr>
                <w:rFonts w:ascii="Arial" w:cs="Arial" w:eastAsia="Arial" w:hAnsi="Arial"/>
                <w:sz w:val="14"/>
                <w:szCs w:val="14"/>
                <w:color w:val="auto"/>
                <w:w w:val="94"/>
              </w:rPr>
              <w:t>exchange for consulting services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74"/>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Cash paid in lieu of fractional shares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in connection with 16-for-1 reverse</w:t>
            </w:r>
          </w:p>
        </w:tc>
        <w:tc>
          <w:tcPr>
            <w:tcW w:w="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 split</w:t>
            </w: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gridSpan w:val="4"/>
          </w:tcPr>
          <w:p>
            <w:pPr>
              <w:spacing w:after="0"/>
              <w:rPr>
                <w:sz w:val="20"/>
                <w:szCs w:val="20"/>
                <w:color w:val="auto"/>
              </w:rPr>
            </w:pPr>
            <w:r>
              <w:rPr>
                <w:rFonts w:ascii="Arial" w:cs="Arial" w:eastAsia="Arial" w:hAnsi="Arial"/>
                <w:sz w:val="14"/>
                <w:szCs w:val="14"/>
                <w:color w:val="auto"/>
                <w:w w:val="97"/>
              </w:rPr>
              <w:t>Balance as of December 31, 2020</w:t>
            </w:r>
          </w:p>
        </w:tc>
        <w:tc>
          <w:tcPr>
            <w:tcW w:w="114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96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96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192,062</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(258,474)</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(66,412)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6"/>
          <w:szCs w:val="16"/>
          <w:b w:val="1"/>
          <w:bCs w:val="1"/>
          <w:color w:val="auto"/>
        </w:rPr>
        <w:t>KEMPHARM,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442"/>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183"/>
        </w:trPr>
        <w:tc>
          <w:tcPr>
            <w:tcW w:w="8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(12,760)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(24,522)</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interest expense</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191"/>
        </w:trPr>
        <w:tc>
          <w:tcPr>
            <w:tcW w:w="8460" w:type="dxa"/>
            <w:vAlign w:val="bottom"/>
          </w:tcPr>
          <w:p>
            <w:pPr>
              <w:ind w:left="140"/>
              <w:spacing w:after="0"/>
              <w:rPr>
                <w:sz w:val="20"/>
                <w:szCs w:val="20"/>
                <w:color w:val="auto"/>
              </w:rPr>
            </w:pPr>
            <w:r>
              <w:rPr>
                <w:rFonts w:ascii="Arial" w:cs="Arial" w:eastAsia="Arial" w:hAnsi="Arial"/>
                <w:sz w:val="16"/>
                <w:szCs w:val="16"/>
                <w:color w:val="auto"/>
              </w:rPr>
              <w:t>Amortization of debt issuance costs and debt discount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1"/>
        </w:trPr>
        <w:tc>
          <w:tcPr>
            <w:tcW w:w="8460" w:type="dxa"/>
            <w:vAlign w:val="bottom"/>
          </w:tcPr>
          <w:p>
            <w:pPr>
              <w:ind w:left="140"/>
              <w:spacing w:after="0"/>
              <w:rPr>
                <w:sz w:val="20"/>
                <w:szCs w:val="20"/>
                <w:color w:val="auto"/>
              </w:rPr>
            </w:pPr>
            <w:r>
              <w:rPr>
                <w:rFonts w:ascii="Arial" w:cs="Arial" w:eastAsia="Arial" w:hAnsi="Arial"/>
                <w:sz w:val="16"/>
                <w:szCs w:val="16"/>
                <w:color w:val="auto"/>
              </w:rPr>
              <w:t>Fair value adjustment related to derivative and warrant liability</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estimated deferred offering costs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1"/>
        </w:trPr>
        <w:tc>
          <w:tcPr>
            <w:tcW w:w="8460" w:type="dxa"/>
            <w:vAlign w:val="bottom"/>
          </w:tcPr>
          <w:p>
            <w:pPr>
              <w:ind w:left="140"/>
              <w:spacing w:after="0"/>
              <w:rPr>
                <w:sz w:val="20"/>
                <w:szCs w:val="20"/>
                <w:color w:val="auto"/>
              </w:rPr>
            </w:pPr>
            <w:r>
              <w:rPr>
                <w:rFonts w:ascii="Arial" w:cs="Arial" w:eastAsia="Arial" w:hAnsi="Arial"/>
                <w:sz w:val="16"/>
                <w:szCs w:val="16"/>
                <w:color w:val="auto"/>
              </w:rPr>
              <w:t>Loss on sublease and disposal of property and equipment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Consulting fees paid in common stock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460" w:type="dxa"/>
            <w:vAlign w:val="bottom"/>
          </w:tcPr>
          <w:p>
            <w:pPr>
              <w:ind w:left="14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and other receivables</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191"/>
        </w:trPr>
        <w:tc>
          <w:tcPr>
            <w:tcW w:w="846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191"/>
        </w:trPr>
        <w:tc>
          <w:tcPr>
            <w:tcW w:w="846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(3,789)</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191"/>
        </w:trPr>
        <w:tc>
          <w:tcPr>
            <w:tcW w:w="846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18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(23,737)</w:t>
            </w:r>
          </w:p>
        </w:tc>
        <w:tc>
          <w:tcPr>
            <w:tcW w:w="0" w:type="dxa"/>
            <w:vAlign w:val="bottom"/>
          </w:tcPr>
          <w:p>
            <w:pPr>
              <w:spacing w:after="0"/>
              <w:rPr>
                <w:sz w:val="1"/>
                <w:szCs w:val="1"/>
                <w:color w:val="auto"/>
              </w:rPr>
            </w:pPr>
          </w:p>
        </w:tc>
      </w:tr>
      <w:tr>
        <w:trPr>
          <w:trHeight w:val="183"/>
        </w:trPr>
        <w:tc>
          <w:tcPr>
            <w:tcW w:w="8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1"/>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3,260</w:t>
            </w:r>
          </w:p>
        </w:tc>
        <w:tc>
          <w:tcPr>
            <w:tcW w:w="0" w:type="dxa"/>
            <w:vAlign w:val="bottom"/>
          </w:tcPr>
          <w:p>
            <w:pPr>
              <w:spacing w:after="0"/>
              <w:rPr>
                <w:sz w:val="1"/>
                <w:szCs w:val="1"/>
                <w:color w:val="auto"/>
              </w:rPr>
            </w:pPr>
          </w:p>
        </w:tc>
      </w:tr>
      <w:tr>
        <w:trPr>
          <w:trHeight w:val="183"/>
        </w:trPr>
        <w:tc>
          <w:tcPr>
            <w:tcW w:w="846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equity line of credit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5,446</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Proceeds from Payment Protection Program loan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Payment of offering costs</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Repayment of principal on finance lease liabilities</w:t>
            </w:r>
          </w:p>
        </w:tc>
        <w:tc>
          <w:tcPr>
            <w:tcW w:w="3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43"/>
        </w:trPr>
        <w:tc>
          <w:tcPr>
            <w:tcW w:w="84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Payment of debt issuance costs</w:t>
            </w: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jc w:val="right"/>
              <w:ind w:right="42"/>
              <w:spacing w:after="0" w:line="60" w:lineRule="exact"/>
              <w:rPr>
                <w:sz w:val="20"/>
                <w:szCs w:val="20"/>
                <w:color w:val="auto"/>
              </w:rPr>
            </w:pPr>
            <w:r>
              <w:rPr>
                <w:rFonts w:ascii="Arial" w:cs="Arial" w:eastAsia="Arial" w:hAnsi="Arial"/>
                <w:sz w:val="6"/>
                <w:szCs w:val="6"/>
                <w:color w:val="auto"/>
              </w:rPr>
              <w:t>(300</w:t>
            </w:r>
          </w:p>
        </w:tc>
        <w:tc>
          <w:tcPr>
            <w:tcW w:w="0" w:type="dxa"/>
            <w:vAlign w:val="bottom"/>
          </w:tcPr>
          <w:p>
            <w:pPr>
              <w:spacing w:after="0"/>
              <w:rPr>
                <w:sz w:val="1"/>
                <w:szCs w:val="1"/>
                <w:color w:val="auto"/>
              </w:rPr>
            </w:pPr>
          </w:p>
        </w:tc>
      </w:tr>
      <w:tr>
        <w:trPr>
          <w:trHeight w:val="183"/>
        </w:trPr>
        <w:tc>
          <w:tcPr>
            <w:tcW w:w="846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(15,564)</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19,119</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167"/>
        </w:trPr>
        <w:tc>
          <w:tcPr>
            <w:tcW w:w="846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5,362</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2021 Notes principal converted to preferred stock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2021 Notes principal converted to common stock</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2019 Notes principal converted to common stock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6"/>
                <w:szCs w:val="16"/>
                <w:color w:val="auto"/>
              </w:rPr>
              <w:t>Commitment shares issued in connection with equity line of credit included in deferred offering costs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8460" w:type="dxa"/>
            <w:vAlign w:val="bottom"/>
          </w:tcPr>
          <w:p>
            <w:pPr>
              <w:spacing w:after="0" w:line="179" w:lineRule="exact"/>
              <w:rPr>
                <w:sz w:val="20"/>
                <w:szCs w:val="20"/>
                <w:color w:val="auto"/>
              </w:rPr>
            </w:pPr>
            <w:r>
              <w:rPr>
                <w:rFonts w:ascii="Arial" w:cs="Arial" w:eastAsia="Arial" w:hAnsi="Arial"/>
                <w:sz w:val="16"/>
                <w:szCs w:val="16"/>
                <w:color w:val="auto"/>
                <w:w w:val="95"/>
              </w:rPr>
              <w:t>Cash paid in lieu of fractional shares in connection with 16-for-1 reverse stock split included in accounts payable and accrued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460" w:type="dxa"/>
            <w:vAlign w:val="bottom"/>
          </w:tcPr>
          <w:p>
            <w:pPr>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financed under a lease agreement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460" w:type="dxa"/>
            <w:vAlign w:val="bottom"/>
          </w:tcPr>
          <w:p>
            <w:pPr>
              <w:spacing w:after="0"/>
              <w:rPr>
                <w:sz w:val="20"/>
                <w:szCs w:val="20"/>
                <w:color w:val="auto"/>
              </w:rPr>
            </w:pPr>
            <w:r>
              <w:rPr>
                <w:rFonts w:ascii="Arial" w:cs="Arial" w:eastAsia="Arial" w:hAnsi="Arial"/>
                <w:sz w:val="16"/>
                <w:szCs w:val="16"/>
                <w:color w:val="auto"/>
              </w:rPr>
              <w:t>Property and equipment included in accounts payable and accrued expenses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118" w:name="page119"/>
    <w:bookmarkEnd w:id="118"/>
    <w:p>
      <w:pPr>
        <w:jc w:val="center"/>
        <w:ind w:right="-3"/>
        <w:spacing w:after="0"/>
        <w:rPr>
          <w:sz w:val="20"/>
          <w:szCs w:val="20"/>
          <w:color w:val="auto"/>
        </w:rPr>
      </w:pPr>
      <w:r>
        <w:rPr>
          <w:rFonts w:ascii="Arial" w:cs="Arial" w:eastAsia="Arial" w:hAnsi="Arial"/>
          <w:sz w:val="16"/>
          <w:szCs w:val="16"/>
          <w:b w:val="1"/>
          <w:bCs w:val="1"/>
          <w:color w:val="auto"/>
        </w:rPr>
        <w:t>KEMPHARM, INC.</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FINANCIAL STATEMENTS</w:t>
      </w:r>
    </w:p>
    <w:p>
      <w:pPr>
        <w:spacing w:after="0" w:line="397" w:lineRule="exact"/>
        <w:rPr>
          <w:sz w:val="20"/>
          <w:szCs w:val="20"/>
          <w:color w:val="auto"/>
        </w:rPr>
      </w:pPr>
    </w:p>
    <w:p>
      <w:pPr>
        <w:ind w:left="684" w:hanging="684"/>
        <w:spacing w:after="0"/>
        <w:tabs>
          <w:tab w:leader="none" w:pos="684"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Business and Basis of Presentation</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Organization</w:t>
      </w:r>
    </w:p>
    <w:p>
      <w:pPr>
        <w:spacing w:after="0" w:line="198" w:lineRule="exact"/>
        <w:rPr>
          <w:sz w:val="20"/>
          <w:szCs w:val="20"/>
          <w:color w:val="auto"/>
        </w:rPr>
      </w:pPr>
    </w:p>
    <w:p>
      <w:pPr>
        <w:jc w:val="both"/>
        <w:ind w:left="4"/>
        <w:spacing w:after="0" w:line="229" w:lineRule="auto"/>
        <w:rPr>
          <w:sz w:val="20"/>
          <w:szCs w:val="20"/>
          <w:color w:val="auto"/>
        </w:rPr>
      </w:pPr>
      <w:r>
        <w:rPr>
          <w:rFonts w:ascii="Arial" w:cs="Arial" w:eastAsia="Arial" w:hAnsi="Arial"/>
          <w:sz w:val="15"/>
          <w:szCs w:val="15"/>
          <w:color w:val="auto"/>
        </w:rPr>
        <w:t>KemPharm, Inc. (the “Company”) is a specialty pharmaceutical company focused on the discovery and development of proprietary prodrugs to treat serious medical conditions through its proprietary Ligand Activated Therapy ("LAT</w:t>
      </w:r>
      <w:r>
        <w:rPr>
          <w:rFonts w:ascii="Arial" w:cs="Arial" w:eastAsia="Arial" w:hAnsi="Arial"/>
          <w:sz w:val="25"/>
          <w:szCs w:val="25"/>
          <w:color w:val="auto"/>
          <w:vertAlign w:val="superscript"/>
        </w:rPr>
        <w:t>®</w:t>
      </w:r>
      <w:r>
        <w:rPr>
          <w:rFonts w:ascii="Arial" w:cs="Arial" w:eastAsia="Arial" w:hAnsi="Arial"/>
          <w:sz w:val="15"/>
          <w:szCs w:val="15"/>
          <w:color w:val="auto"/>
        </w:rPr>
        <w:t>") technology. The Company utilizes its proprietary LAT technology to generate improved prodrug versions of U.S. Food and Drug Administration (the "FDA") approved drugs as well as to generate prodrug versions of existing compounds that may have applications for new disease indications. The Company's product candidate pipeline is focused on the high need areas of attention deficit hyperactivity disorder ("ADHD") and stimulant use disorder ("SUD"). The Company's clinical product candidates for the treatment of ADHD include AZSTARYS™ (formerly referred to as KP415) and KP484, and the Company's clinical product candidate for the treatment of SUD includes KP879. In addition, the Company has received FDA approval for APADAZ</w:t>
      </w:r>
      <w:r>
        <w:rPr>
          <w:rFonts w:ascii="Arial" w:cs="Arial" w:eastAsia="Arial" w:hAnsi="Arial"/>
          <w:sz w:val="25"/>
          <w:szCs w:val="25"/>
          <w:color w:val="auto"/>
          <w:vertAlign w:val="superscript"/>
        </w:rPr>
        <w:t>®</w:t>
      </w:r>
      <w:r>
        <w:rPr>
          <w:rFonts w:ascii="Arial" w:cs="Arial" w:eastAsia="Arial" w:hAnsi="Arial"/>
          <w:sz w:val="15"/>
          <w:szCs w:val="15"/>
          <w:color w:val="auto"/>
        </w:rPr>
        <w:t>, an immediate-release combination product containing benzhydrocodone, a prodrug of hydrocodone and acetaminophen. On March 2, 2021, the Company announced that the FDA approved the new drug application ("NDA") for AZSTARYS, a once-daily product for the treatment of ADHD in patients age six years and older.</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198"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On December 23, 2020, the Company completed a one-for-sixteen reverse stock split (the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 and the par value of the Company’s common stock remained unchanged at $0.0001 per share. No fractional shares were issued in connection with the Reverse Stock Split. Stockholders who otherwise held fractional shares of the Company’s common stock as a result of the Reverse Stock Split received a cash payment in lieu of such fractional shares. Except where disclosed, all amounts related to number of shares and per share amounts have been retroactively restated in these financial statements.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Liquidity</w:t>
      </w:r>
    </w:p>
    <w:p>
      <w:pPr>
        <w:spacing w:after="0" w:line="198"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The financial statements have been prepared on a going concern basis which assumes that the Company will be able to realize its assets and discharge its liabilities in the normal course of business for the foreseeable future. The Company has experienced recurring negative operating cash flows and has a stockholders' deficit, and its cash and cash equivalents and restricted cash as of December 31, 2020 are not sufficient to fund the Company’s operating expenses and capital expenditure requirements for at least one year from December 31, 2020. However, after taking into account the underwritten public offering, debt restructuring with subsequent payoff and warrant inducement transactions discussed in Note R this concern has been alleviated and the Company's cash and cash equivalents as of the filing date are sufficient to fund the Company's operating expenses and capital expenditure requirements for a least one year from the date these financial statements are issued.</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Entry into 2019 ELOC Agreement</w:t>
      </w:r>
    </w:p>
    <w:p>
      <w:pPr>
        <w:spacing w:after="0" w:line="198" w:lineRule="exact"/>
        <w:rPr>
          <w:sz w:val="20"/>
          <w:szCs w:val="20"/>
          <w:color w:val="auto"/>
        </w:rPr>
      </w:pPr>
    </w:p>
    <w:p>
      <w:pPr>
        <w:jc w:val="both"/>
        <w:ind w:left="4"/>
        <w:spacing w:after="0" w:line="252" w:lineRule="auto"/>
        <w:rPr>
          <w:sz w:val="20"/>
          <w:szCs w:val="20"/>
          <w:color w:val="auto"/>
        </w:rPr>
      </w:pPr>
      <w:r>
        <w:rPr>
          <w:rFonts w:ascii="Arial" w:cs="Arial" w:eastAsia="Arial" w:hAnsi="Arial"/>
          <w:sz w:val="16"/>
          <w:szCs w:val="16"/>
          <w:color w:val="auto"/>
        </w:rPr>
        <w:t>In February 2019, the Company entered into a purchase agreement for an equity line of credit (the “2019 ELOC Agreement”) with Lincoln Park Capital Fund, LLC (“Lincoln Park”) which provided that, upon the terms and subject to the conditions and limitations set forth therein, the Company previously could sell to Lincoln Park up to $15.0 million of shares of common stock from time to time over the 36-month term of the 2019 ELOC Agreement, and upon execution of the 2019 ELOC Agreement, the Company issued an additional 7,512 shares of common stock to Lincoln Park as commitment shares in accordance with the closing conditions within the 2019 ELOC Agreement. Concurrently with entering into the 2019 ELOC Agreement, the Company also entered into a registration rights agreement with Lincoln Park (the “2019 ELOC Registration Rights Agreement”) pursuant to which the Company agreed to register the sale of the shares of common stock that have been and may be issued to Lincoln Park under the 2019 ELOC Agreement pursuant to the Company’s existing shelf registration statement on Form S-3 or a new registration statement. The 2019 ELOC Agreement was terminated in February 2020 in connection with entering into the 2020 ELOC Agreement (discussed below). Prior to the termination of the 2019 ELOC Agreement, the Company sold 212,579 shares of common stock to Lincoln Park (exclusive of the 7,512 commitment shares) under the 2019 ELOC Agreement for gross proceeds of approximately $5.4 million.</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Entry into 2020 ELOC Agreement</w:t>
      </w:r>
    </w:p>
    <w:p>
      <w:pPr>
        <w:spacing w:after="0" w:line="198" w:lineRule="exact"/>
        <w:rPr>
          <w:sz w:val="20"/>
          <w:szCs w:val="20"/>
          <w:color w:val="auto"/>
        </w:rPr>
      </w:pPr>
    </w:p>
    <w:p>
      <w:pPr>
        <w:jc w:val="both"/>
        <w:ind w:left="4"/>
        <w:spacing w:after="0" w:line="270" w:lineRule="auto"/>
        <w:rPr>
          <w:sz w:val="20"/>
          <w:szCs w:val="20"/>
          <w:color w:val="auto"/>
        </w:rPr>
      </w:pPr>
      <w:r>
        <w:rPr>
          <w:rFonts w:ascii="Arial" w:cs="Arial" w:eastAsia="Arial" w:hAnsi="Arial"/>
          <w:sz w:val="15"/>
          <w:szCs w:val="15"/>
          <w:color w:val="auto"/>
        </w:rPr>
        <w:t>In February 2020, the Company entered into a purchase agreement for an equity line of credit (the “2020 ELOC Agreement”) with Lincoln Park which provides that, upon the terms and subject to the conditions and limitations set forth therein, the Company may sell to Lincoln Park up to $4.0 million of shares of common stock from time to time over the 12-month term of the 2020 ELOC Agreement, and upon execution of the 2020 ELOC Agreement the Company issued an additional 19,289 shares of common stock to Lincoln Park as commitment shares in accordance with the closing conditions within the 2020 ELOC Agreement. Concurrently with entering into the 2020 ELOC Agreement, the Company also entered into a registration rights agreement with Lincoln Park (the “2020 ELOC Registration Rights Agreement”) pursuant to which the Company agreed to register the sale of the shares of common stock that have been and may be issued to Lincoln Park under the 2020 ELOC Agreement pursuant to the Company’s existing shelf registration statement on Form S-3 or a new registration statement. In May 2020, the Company reached the maximum allowable shares to be issued under the Current Registration Statement of 579,260 shares (inclusive of the 19,289 commitment shares) as defined in Section 2(f)(i) of the 2020 ELOC Agreement and therefore cannot issue additional shares under the 2020 ELOC Agreement. As of December 31, 2020, the Company has sold 559,971 shares of common stock to Lincoln Park (exclusive of the 19,289 commitment shares) under the 2020 ELOC Agreement for gross proceeds of approximately $2.3 million.</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auto"/>
        </w:rPr>
        <w:t>License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Entry into KP415 License Agreement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September 2019, the Company entered into a Collaboration and License Agreement (the “KP415 License Agreement”) with Commave Therapeutics SA, an affiliate of Gurnet Point Capital (“Commave”). Under the KP415 License Agreement, the Company granted to Commave an exclusive, worldwide license to develop, manufacture and commercialize the Company’s product candidates containing serdexmethylphenidate (“SDX”) and d-methylphenidate (“d-MPH”), including AZSTARYS, KP484, and, at the option of Commave, KP879, KP922 or any other product candidate developed by the Company containing SDX and developed to treat ADHD or any other central nervous system disorder (the “Additional Product Candidates” and, collectively with AZSTARYS and KP484, the “Licensed Product Candidates”). Pursuant to the KP415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6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May 2020, the FDA accepted the Company’s NDA for AZSTARYS. Per the KP415 License Agreement, the Company received a regulatory milestone payment of $5.0 million following the FDA’s acceptance of the AZSTARYS NDA.</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Commave has also agreed to be responsible and reimburse the Company for all of development, commercialization and regulatory expenses for the Licensed Product Candidates, subject to certain limitations as set forth in the KP415 License Agreement.</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KP415 License Agreement also established a joint steering committee, which monitors progress of the development of both AZSTARYS and KP484. Subject to the oversight of the joint steering committee, the Company otherwise retains all responsibility for the conduct of all regulatory activities required to obtain new drug application approval of AZSTARYS and KP484; provided that Commave shall be the sponsor of any clinical trials conducted by the Company on behalf of Commave.</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or KP879 under the KP415 License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Entry into APADAZ License Agreement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October 2018, the Company entered into a Collaboration and License Agreement (the “APADAZ License Agreement”) with KVK Tech, Inc. (“KVK”) pursuant to which we have granted an exclusive license to KVK to conduct regulatory activities for, manufacture and commercialize APADAZ in the United States.</w:t>
      </w:r>
    </w:p>
    <w:p>
      <w:pPr>
        <w:spacing w:after="0" w:line="15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Pursuant to the APADAZ License Agreement, KVK agreed to pay the Company certain payments and cost reimbursements of an estimated $3.4 million, which includes a payment of $2.0 million within 10 days of the achievement of a specified milestone related to the initial formulary adoption of APADAZ (the “Initial Adoption Milestone”). In addition, KVK has agreed to make additional payments to the Company upon the achievement of specified sales milestones of up to $53.0 million in the aggregate. Further, the Company and KVK will share the quarterly net profits of APADAZ by KVK in the United States at specified tiered percentages, ranging from the Company receiving 30% to 50% of net profits, based on the amount of net sales on a rolling four quarter basis. The Company is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The Company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if the other party encounters bankruptcy or insolvency or (iii) if the Initial Adoption Milestone is not achieved. Upon termination, all licenses and other rights granted by the Company to KVK pursuant to the APADAZ License Agreement would revert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APADAZ License Agreement also established a joint steering committee, which monitors progress of the commercialization of APADAZ.</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Consulting Arrangements</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From time to time, the Company enters into consulting arrangements with third-parties to provide research and development, manufacturing and/or commercialization services. Such arrangements may require the Company to deliver various rights, services, including research and development services, regulatory services and/or commercialization services. The underlying terms of these arrangements generally provide for consideration to the Company in the form of consulting fees and reimbursements of out-of-pocket third-party research and development, regulatory and commercial costs.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Corium Consulting Agreement</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is responsible for leading all commercialization activities for AZSTARYS under the KP415 License Agreement, as discussed above.</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Under the Corium Consulting Agreement, the Company is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the Company for all development, commercialization and regulatory expenses incurred as part of the performance of the Corium Consulting Services.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20" w:name="page121"/>
    <w:bookmarkEnd w:id="120"/>
    <w:p>
      <w:pPr>
        <w:ind w:left="684" w:hanging="684"/>
        <w:spacing w:after="0"/>
        <w:tabs>
          <w:tab w:leader="none" w:pos="684"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8"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The preparation of financial statements in conformity with U.S. GAAP requires the Company to make estimates and assumptions that affect the amounts reported in the financial statements and accompanying notes. Actual results could differ from those estimates.</w:t>
      </w:r>
    </w:p>
    <w:p>
      <w:pPr>
        <w:spacing w:after="0" w:line="152" w:lineRule="exact"/>
        <w:rPr>
          <w:sz w:val="20"/>
          <w:szCs w:val="20"/>
          <w:color w:val="auto"/>
        </w:rPr>
      </w:pPr>
    </w:p>
    <w:p>
      <w:pPr>
        <w:jc w:val="both"/>
        <w:ind w:left="4" w:right="20"/>
        <w:spacing w:after="0" w:line="280" w:lineRule="auto"/>
        <w:rPr>
          <w:sz w:val="20"/>
          <w:szCs w:val="20"/>
          <w:color w:val="auto"/>
        </w:rPr>
      </w:pPr>
      <w:r>
        <w:rPr>
          <w:rFonts w:ascii="Arial" w:cs="Arial" w:eastAsia="Arial" w:hAnsi="Arial"/>
          <w:sz w:val="15"/>
          <w:szCs w:val="15"/>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98"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principally of cash on deposit with multiple financial institutions, the balances of which frequently exceed insured limits, and accounts receivable, which are concentrated amongst a limited number of customers.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 considers any highly liquid investments with an original maturity of three months or less to be cash equivalents.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98"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statements of operations.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198"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Debt issuance costs incurred in connection with financing arrangements are recorded as a reduction of the related debt on the balance sheet and amortized over the life of the respective financing arrangement using the effective interest method.</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Offering Costs</w:t>
      </w:r>
    </w:p>
    <w:p>
      <w:pPr>
        <w:spacing w:after="0" w:line="198"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Offering costs incurred in connection with capital offering arrangements are recorded as deferred offering costs in prepaid expenses and other currents assets on the balance sheet. Once the offering arrangement closes the deferred offering costs are reclassified as a reduction of the related net proceeds of the offering in additional paid-in capital on the balance sheet. If its a continuous offering the deferred offering costs are amortized over the life of the respective offering arrangement using a pro-rata method which matches the costs to the funds raised from the offering. If the continuous offering arrangement terminates prior to all the deferred offering costs being recognized the deferred offering costs are written off and expensed in general and administrative expense on the statement of operations.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Supply Arrangements</w:t>
      </w:r>
    </w:p>
    <w:p>
      <w:pPr>
        <w:spacing w:after="0" w:line="198" w:lineRule="exact"/>
        <w:rPr>
          <w:sz w:val="20"/>
          <w:szCs w:val="20"/>
          <w:color w:val="auto"/>
        </w:rPr>
      </w:pPr>
    </w:p>
    <w:p>
      <w:pPr>
        <w:jc w:val="both"/>
        <w:ind w:left="4" w:right="20"/>
        <w:spacing w:after="0" w:line="309" w:lineRule="auto"/>
        <w:rPr>
          <w:sz w:val="20"/>
          <w:szCs w:val="20"/>
          <w:color w:val="auto"/>
        </w:rPr>
      </w:pPr>
      <w:r>
        <w:rPr>
          <w:rFonts w:ascii="Arial" w:cs="Arial" w:eastAsia="Arial" w:hAnsi="Arial"/>
          <w:sz w:val="15"/>
          <w:szCs w:val="15"/>
          <w:color w:val="auto"/>
        </w:rPr>
        <w:t>The Company enters into supply arrangements for the supply of components of its product and product candidates. These arrangements also may include a share of future revenue if related product or product candidates reach commercialization. Costs under these supply arrangements, if any, are expensed as incurred (Note I).</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98"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2020 or 2019.</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62" w:lineRule="exact"/>
        <w:rPr>
          <w:sz w:val="20"/>
          <w:szCs w:val="20"/>
          <w:color w:val="auto"/>
        </w:rPr>
      </w:pPr>
    </w:p>
    <w:p>
      <w:pPr>
        <w:ind w:left="560" w:hanging="278"/>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1—Observable inputs that reflect quoted market prices (unadjusted) for identical assets or liabilities in active markets;</w:t>
      </w:r>
    </w:p>
    <w:p>
      <w:pPr>
        <w:spacing w:after="0" w:line="222"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2—Observable inputs other than quoted prices in active markets that are observable either directly or indirectly in the marketplace for identical or similar assets and liabilities; and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data, which require the Company to develop its own assumptions.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Company commenced recognizing revenue in accordance with the provisions of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(“ASC 606”), starting January 1, 2018.</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However, the Company had no revenue until the third quarter of 2019.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Arrangements with Multiple-Performance Obligations</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Licensing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enters into licensing agreements with licensees that fall under the scope of ASC 606.</w:t>
      </w:r>
    </w:p>
    <w:p>
      <w:pPr>
        <w:spacing w:after="0" w:line="198"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5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 arrangement,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At the inception of each arrangement that includes milestone payments (variable consideration), the Company evaluates whether the milestones are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i w:val="1"/>
          <w:iCs w:val="1"/>
          <w:color w:val="auto"/>
        </w:rPr>
        <w:t>KP415 License Agreement</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September 2019, the Company entered into the KP415 License Agreement with Commave under which the Company granted to Commave an exclusive, worldwide license to develop, manufacture and commercialize the Company’s product candidates containing SDX and d-MPH, including AZSTARYS, KP484, and, at the option of Commave, KP879, KP922 and/or any other product candidate developed by the Company containing SDX and developed to treat ADHD or any other central nervous system disorder. The license granted to Commave is distinct from other performance obligations as Commave can benefit from the license either on its own or together with other resources that are readily available and the license is separately identifiable from other promises in the KP415 License Agreement.</w:t>
      </w:r>
    </w:p>
    <w:p>
      <w:pPr>
        <w:spacing w:after="0" w:line="155"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In exchange for the exclusive, worldwide license, discussed above, Commave paid the Company a non-refundable upfront payment of $10.0 million. The Company is also entitled to additional payments from Commave of up to $63.0 million, conditioned upon the achievement of specified regulatory milestones related to AZSTARYS and KP484. In May 2020, the FDA accepted the Company’s NDA for AZSTARYS. Per the KP415 License Agreement, the Company received a regulatory milestone payment of $5.0 million following the FDA’s acceptance of the AZSTARYS NDA. In addition, the Company is entitled to payments from Commave of up to $420.0 million in the aggregate, conditioned upon the achievement of certain U.S. sales milestones, which are dependent upon, among other things, the timing of approval for a new drug application for AZSTARYS and its final approved label, if any.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Commave also agreed to be responsible for and reimburse the Company for all of development, commercialization and regulatory expenses incurred on the licensed products, subject to certain limitations as set forth in the KP415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KP415 License Agreement is within the scope of ASC 606, as the transaction represents a contract with a customer where the participants function in a customer / vendor relationship and are not exposed equally to the risks and rewards of the activities contemplated under the KP415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KP415 License Agreement) which was allocated among the performance obligations based on their respective related stand-alone selling price.</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transaction. The Company determined that the intellectual property licensed under the KP415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KP415 License Agreement.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consideration allocated to the performance of consulting services, which includes the reimbursement of out-of-pocket third-party research and development costs, was the fair value of the Development Costs (as defined in the KP415 License Agreement), which reflects the standalone selling price. The Company utilized a blended approach which took into consideration the adjusted market assessment approach and the expected cost plus a margin approach to determine this standalone selling price. This blended approach utilized the adjusted market approach and expected cost plus margin approach to value the performance of consulting services which included analyzing hourly rates of vendors in the a market who perform similar services to those of the Company to develop a range and then analyzing the average cost per hour of our internal resources and applying a margin which placed the value in the median of the previously identified range. For the reimbursement of out-of-pocket third-party research and development costs the Company utilized the expected cost plus a margin approach, which included estimating the actual out-of-pocket cost the Company expects to pay to third-parties for research and development costs and applying a margin, if necessary. The Company determined that no margin was necessary of these out-of-pocket third-party research and development costs as these are purely pass-through costs and the margin for managing these third-party activities is included within the value of the performance of consulting services. The Company determined that the performance of consulting services, including reimbursement of out-of-pocket third-party research and development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out-of-pocket third-party research and development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discussed above, the combination of the standalone selling price of these consulting services and certain out-of-pocket third-party research and development costs for AZSTARYS was the fair value of the Development Costs at inception. These Development Costs effectively created a cap on certain consulting services and out-of-pocket third-party research and development costs identified in the initial product development plan for AZSTARYS which was anticipated at the inception date of the KP415 License Agreement. As of December 31, 2020, the Company has recognized all of the consulting services and out-of-pocket third-party research and development costs under this cap.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4" w:name="page125"/>
    <w:bookmarkEnd w:id="124"/>
    <w:p>
      <w:pPr>
        <w:jc w:val="both"/>
        <w:spacing w:after="0" w:line="292" w:lineRule="auto"/>
        <w:rPr>
          <w:sz w:val="20"/>
          <w:szCs w:val="20"/>
          <w:color w:val="auto"/>
        </w:rPr>
      </w:pPr>
      <w:r>
        <w:rPr>
          <w:rFonts w:ascii="Arial" w:cs="Arial" w:eastAsia="Arial" w:hAnsi="Arial"/>
          <w:sz w:val="14"/>
          <w:szCs w:val="14"/>
          <w:color w:val="auto"/>
        </w:rPr>
        <w:t>Under the KP415 License Agreement, Commave was granted an exclusive right to first negotiation whereby upon completion of a Phase 1 proof-of-concept study, the Company and Commave may negotiate the economics terms under which that certain Additional Product may be included as a Product option to include Additional Products as Product(s) (both as defined in the KP415 License Agreement) under the KP415 License Agreement (the “Additional Product Option”). In addition to the Additional Product Option, Commave was also granted a right of first refusal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 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The Company is entitled to additional payments from Commave conditioned upon the achievement of specified regulatory milestones related to AZSTARYS and KP484 and the achievement of certain U.S. sales milestones, which are dependent upon, among other things, the timing of approval for a new drug application for AZSTARYS and its final approved label, if any.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59"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For example, in May 2020, the FDA accepted the Company’s NDA for AZSTARYS. Per the KP415 License Agreement, the Company received a regulatory milestone payment of $5.0 million following the FDA’s acceptance of the AZSTARYS NDA. Since the FDA accepted the Company’s NDA for AZSTARYS the constraint was removed and revenue recognized. The associated revenue was allocated among the two performance obligations identified at contract inception. Since both performance obligations were satisfied as of the end of the second quarter of 2020 the full $5.0 million payment was recognized as revenue during the second quarter of 2020.</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 xml:space="preserve">For the year ended December 31, 2020, the Company recognized revenue under the KP415 License Agreement of $7.3 million. In accordance with the guidance provided in ASC 340-40, </w:t>
      </w:r>
      <w:r>
        <w:rPr>
          <w:rFonts w:ascii="Arial" w:cs="Arial" w:eastAsia="Arial" w:hAnsi="Arial"/>
          <w:sz w:val="15"/>
          <w:szCs w:val="15"/>
          <w:i w:val="1"/>
          <w:iCs w:val="1"/>
          <w:color w:val="auto"/>
        </w:rPr>
        <w:t>Contracts with Customers</w:t>
      </w:r>
      <w:r>
        <w:rPr>
          <w:rFonts w:ascii="Arial" w:cs="Arial" w:eastAsia="Arial" w:hAnsi="Arial"/>
          <w:sz w:val="15"/>
          <w:szCs w:val="15"/>
          <w:color w:val="auto"/>
        </w:rPr>
        <w:t>, the Company capitalized approximately $2.8 million of incremental costs incurred in obtaining the KP415 License Agreement and will amortize these costs as the revenue associated with the exclusive worldwide license, reimbursement of out-of-pocket third-party research and development costs and consulting services is recognized. As of December 31, 2020, the Company has recognized all of these incremental costs, $0.8 million of which was recognized in the year ended December 31, 2020 and is recorded in the line item titled royalty and direct contract acquisition costs in the statement of operations. There was $12.8 million of revenue and $1.9 million of associated direct contract acquisition costs recognized for the year ended December 31, 2019 related to the KP415 License Agreement. There was no deferred revenue related to this agreement as of December 31, 2020 or December 31, 2019.</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Consulting Arrangements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enters into consulting arrangements with third-parties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Corium Consulting Agreement</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December 31, 2020, the Company has recognized approximately 30% of the consulting services and third-party pass-through costs under the Corium Consulting Agreement.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For the year ended December 31, 2020, the Company recognized revenue under the Corium Consulting Agreement of $3.9 million. There was no revenue recognized for the year ended December 31, 2019 related to the Corium Consulting Agreement. As of December 31, 2020, the Company had deferred revenue related to this agreement of $0.1 million. There was no deferred revenue related to this agreement as of December 31, 2019 as it was not entered into until July 2020.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Consulting Arrangements</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For the year ended December 31, 2020, the Company recognized revenue under other consulting arrangements of $2.0. There was no revenue recognized from other consulting arrangements for the year ended December 31, 2019. There was no deferred revenue from other from consulting arrangements as of December 31, 2020 or 2019.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i w:val="1"/>
          <w:iCs w:val="1"/>
          <w:color w:val="auto"/>
        </w:rPr>
        <w:t>Accounts and Other Receivables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Accounts and other receivables consists of receivables under the KP415 License Agreement and Corium Consulting Agreement, as well as receivables related to other consulting arrangements, income tax receivables and other receivables due to the Company. Receivables under the KP415 License Agreement and Corium Consulting Agreement are recorded for amounts due to the Company related to reimbursable third-party costs and performance of consulting services. These receivables, as well as the receivables related to other consulting arrangements, are evaluated to determine if any reserve or allowance should be established at each reporting date. As of December 31, 2020, the Company had receivables related to the Corium Consulting Agreement in the amount of $2.1 million, other consulting arrangements in the amount of $0.4 million and no receivables related to the KP415 License Agreement. As of December 31, 2019, the Company had receivables related to the KP415 License Agreement in the amount of $1.6 million and receivables related to other consulting arrangements of $0.1 million. As of December 31, 2020 and 2019 no reserve or allowance for doubtful accounts has been established.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i w:val="1"/>
          <w:iCs w:val="1"/>
          <w:color w:val="auto"/>
        </w:rPr>
        <w:t>Patent Costs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Patent costs, including related legal costs, are expensed as incurred and recorded within general and administrative expenses on the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as of December 31, 2020 and 2019.</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Company files income tax returns in the United States for federal and various state jurisdictions. With few exceptions, the Company is no longer subject to U.S. federal and state and local income tax examinations for years prior to 2014, although carryforward attributes that were generated prior to 2017 may still be adjusted upon examination by the Internal Revenue Service if used in a future period. No income tax returns are currently under examination by taxing authorities.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 xml:space="preserve">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inclusive of the modifications made by Accounting Standards Update ("ASU") 2018-07, </w:t>
      </w:r>
      <w:r>
        <w:rPr>
          <w:rFonts w:ascii="Arial" w:cs="Arial" w:eastAsia="Arial" w:hAnsi="Arial"/>
          <w:sz w:val="14"/>
          <w:szCs w:val="14"/>
          <w:i w:val="1"/>
          <w:iCs w:val="1"/>
          <w:color w:val="auto"/>
        </w:rPr>
        <w:t>Compensation—Stock Compensation (Topic 718): Improvements to Non-Employee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Share-Based Payment Accounting </w:t>
      </w:r>
      <w:r>
        <w:rPr>
          <w:rFonts w:ascii="Arial" w:cs="Arial" w:eastAsia="Arial" w:hAnsi="Arial"/>
          <w:sz w:val="14"/>
          <w:szCs w:val="14"/>
          <w:color w:val="auto"/>
        </w:rPr>
        <w:t>(“ASU 2018-17”). The Company values equity instruments and stock options granted using the Black-Scholes option pricing model.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Basic and Diluted Net Loss per Share of Common Stock</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and select warrants are entitled to participate in distributions, when and if declared by the board of directors, that are made to common stockholders and, as a result, are considered participating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and Geographic Information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All assets of the Company were held in the United States as of December 31, 2020 and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i w:val="1"/>
          <w:iCs w:val="1"/>
          <w:color w:val="auto"/>
        </w:rPr>
        <w:t>Application of New or Revised Accounting Standards—Adopted</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From time to time, the Financial Accounting Standards Board (the “FASB”) or other standard-setting bodies issue accounting standards that are adopted by the Company as of the specified effective date.</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April 2012, President Obama signed the Jump-Start Our Business Startups Act (the “JOBS Act”) into law. The JOBS Act contains provisions that, among other things, reduce certain reporting requirements for an emerging growth company. As an emerging growth company, the Company could have elected to adopt new or revised accounting standards when they become effective for non-public companies, which typically is later than public companies must adopt the standards. The Company has irrevocably elected not to take advantage of the extended transition period afforded by the JOBS Act and, as a result, will comply with new or revised accounting standards on the relevant dates on which adoption of such standards is required for non-emerging growth companies.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326)—Measurement of Credit Losses on Financial Instruments</w:t>
      </w:r>
      <w:r>
        <w:rPr>
          <w:rFonts w:ascii="Arial" w:cs="Arial" w:eastAsia="Arial" w:hAnsi="Arial"/>
          <w:sz w:val="16"/>
          <w:szCs w:val="16"/>
          <w:color w:val="auto"/>
        </w:rPr>
        <w:t xml:space="preserve"> (“ASU 2016-13”), which replaces the incurred loss impairment methodology with a methodology that reflects expected credit losses and 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the Company’s financial statements and disclosures.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820)—Disclosure Framework—Changes to the Disclosure Requirements for 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Measurement </w:t>
      </w:r>
      <w:r>
        <w:rPr>
          <w:rFonts w:ascii="Arial" w:cs="Arial" w:eastAsia="Arial" w:hAnsi="Arial"/>
          <w:sz w:val="15"/>
          <w:szCs w:val="15"/>
          <w:color w:val="auto"/>
        </w:rPr>
        <w:t>(“ASU 2018-13”), which modifies the disclosure requirements on fair value measurements in Topic 820, Fair Value Measurement, based on the concepts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FASB Concepts Statement, </w:t>
      </w:r>
      <w:r>
        <w:rPr>
          <w:rFonts w:ascii="Arial" w:cs="Arial" w:eastAsia="Arial" w:hAnsi="Arial"/>
          <w:sz w:val="15"/>
          <w:szCs w:val="15"/>
          <w:i w:val="1"/>
          <w:iCs w:val="1"/>
          <w:color w:val="auto"/>
        </w:rPr>
        <w:t>Conceptual Framework for Financial Reporting—Chapter 8: Notes to Financial Statements,</w:t>
      </w:r>
      <w:r>
        <w:rPr>
          <w:rFonts w:ascii="Arial" w:cs="Arial" w:eastAsia="Arial" w:hAnsi="Arial"/>
          <w:sz w:val="15"/>
          <w:szCs w:val="15"/>
          <w:color w:val="auto"/>
        </w:rPr>
        <w:t xml:space="preserve"> which the FASB finalized on August 28, 2018, including the consideration of costs and benefits. This update applies to all entities that are required, under existing U.S.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the Company’s financial statements and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Application of New or Revised Accounting Standards—Not Yet Adopted</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Accounting for Convertible Instruments and Contracts in an Entity’s Own Equity </w:t>
      </w:r>
      <w:r>
        <w:rPr>
          <w:rFonts w:ascii="Arial" w:cs="Arial" w:eastAsia="Arial" w:hAnsi="Arial"/>
          <w:sz w:val="14"/>
          <w:szCs w:val="14"/>
          <w:color w:val="auto"/>
        </w:rPr>
        <w:t>(“ASU 2020-06”), which addresses issues identified as a result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Early adoption is permitted, but no earlier than fiscal years beginning after December 15, 2020, including interim periods within those fiscal years. FASB specified that an entity should adopt the guidance as of the beginning of its annual fiscal year. The Company is currently evaluating the impact the adoption of ASU 2020-06 could have on the Company’s financial statements and disclosures.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29" w:name="page130"/>
    <w:bookmarkEnd w:id="129"/>
    <w:p>
      <w:pPr>
        <w:ind w:left="684" w:hanging="684"/>
        <w:spacing w:after="0"/>
        <w:tabs>
          <w:tab w:leader="none" w:pos="684"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Accounts and Other Receivables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Accounts and other receivables consist of the following (in thousands):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4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183"/>
        </w:trPr>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2019</w:t>
            </w:r>
          </w:p>
        </w:tc>
        <w:tc>
          <w:tcPr>
            <w:tcW w:w="1140" w:type="dxa"/>
            <w:vAlign w:val="bottom"/>
          </w:tcPr>
          <w:p>
            <w:pPr>
              <w:spacing w:after="0"/>
              <w:rPr>
                <w:sz w:val="15"/>
                <w:szCs w:val="15"/>
                <w:color w:val="auto"/>
              </w:rPr>
            </w:pPr>
          </w:p>
        </w:tc>
      </w:tr>
      <w:tr>
        <w:trPr>
          <w:trHeight w:val="183"/>
        </w:trPr>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960" w:type="dxa"/>
            <w:vAlign w:val="bottom"/>
            <w:gridSpan w:val="2"/>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4"/>
              </w:rPr>
              <w:t>2,442</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140" w:type="dxa"/>
            <w:vAlign w:val="bottom"/>
          </w:tcPr>
          <w:p>
            <w:pPr>
              <w:spacing w:after="0"/>
              <w:rPr>
                <w:sz w:val="15"/>
                <w:szCs w:val="15"/>
                <w:color w:val="auto"/>
              </w:rPr>
            </w:pPr>
          </w:p>
        </w:tc>
      </w:tr>
      <w:tr>
        <w:trPr>
          <w:trHeight w:val="191"/>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Other receivables</w:t>
            </w:r>
          </w:p>
        </w:tc>
        <w:tc>
          <w:tcPr>
            <w:tcW w:w="2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140" w:type="dxa"/>
            <w:vAlign w:val="bottom"/>
          </w:tcPr>
          <w:p>
            <w:pPr>
              <w:spacing w:after="0"/>
              <w:rPr>
                <w:sz w:val="16"/>
                <w:szCs w:val="16"/>
                <w:color w:val="auto"/>
              </w:rPr>
            </w:pPr>
          </w:p>
        </w:tc>
      </w:tr>
      <w:tr>
        <w:trPr>
          <w:trHeight w:val="203"/>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accounts and other receivables</w:t>
            </w:r>
          </w:p>
        </w:tc>
        <w:tc>
          <w:tcPr>
            <w:tcW w:w="2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4"/>
              </w:rPr>
              <w:t>2,579</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1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74"/>
        </w:trPr>
        <w:tc>
          <w:tcPr>
            <w:tcW w:w="420" w:type="dxa"/>
            <w:vAlign w:val="bottom"/>
          </w:tcPr>
          <w:p>
            <w:pPr>
              <w:spacing w:after="0"/>
              <w:rPr>
                <w:sz w:val="20"/>
                <w:szCs w:val="20"/>
                <w:color w:val="auto"/>
              </w:rPr>
            </w:pPr>
            <w:r>
              <w:rPr>
                <w:rFonts w:ascii="Arial" w:cs="Arial" w:eastAsia="Arial" w:hAnsi="Arial"/>
                <w:sz w:val="16"/>
                <w:szCs w:val="16"/>
                <w:b w:val="1"/>
                <w:bCs w:val="1"/>
                <w:color w:val="auto"/>
              </w:rPr>
              <w:t>D.</w:t>
            </w:r>
          </w:p>
        </w:tc>
        <w:tc>
          <w:tcPr>
            <w:tcW w:w="4920" w:type="dxa"/>
            <w:vAlign w:val="bottom"/>
            <w:gridSpan w:val="2"/>
          </w:tcPr>
          <w:p>
            <w:pPr>
              <w:ind w:left="260"/>
              <w:spacing w:after="0"/>
              <w:rPr>
                <w:sz w:val="20"/>
                <w:szCs w:val="20"/>
                <w:color w:val="auto"/>
              </w:rPr>
            </w:pPr>
            <w:r>
              <w:rPr>
                <w:rFonts w:ascii="Arial" w:cs="Arial" w:eastAsia="Arial" w:hAnsi="Arial"/>
                <w:sz w:val="16"/>
                <w:szCs w:val="16"/>
                <w:b w:val="1"/>
                <w:bCs w:val="1"/>
                <w:color w:val="auto"/>
              </w:rPr>
              <w:t>Prepaid Expenses and Other Current Assets</w:t>
            </w: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2"/>
        </w:trPr>
        <w:tc>
          <w:tcPr>
            <w:tcW w:w="5340" w:type="dxa"/>
            <w:vAlign w:val="bottom"/>
            <w:gridSpan w:val="3"/>
          </w:tcPr>
          <w:p>
            <w:pPr>
              <w:spacing w:after="0"/>
              <w:rPr>
                <w:sz w:val="20"/>
                <w:szCs w:val="20"/>
                <w:color w:val="auto"/>
              </w:rPr>
            </w:pPr>
            <w:r>
              <w:rPr>
                <w:rFonts w:ascii="Arial" w:cs="Arial" w:eastAsia="Arial" w:hAnsi="Arial"/>
                <w:sz w:val="16"/>
                <w:szCs w:val="16"/>
                <w:color w:val="auto"/>
                <w:w w:val="91"/>
              </w:rPr>
              <w:t>Prepaid expenses and other current assets consist of the following (in thousands):</w:t>
            </w: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2"/>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2019</w:t>
            </w:r>
          </w:p>
        </w:tc>
        <w:tc>
          <w:tcPr>
            <w:tcW w:w="1140" w:type="dxa"/>
            <w:vAlign w:val="bottom"/>
          </w:tcPr>
          <w:p>
            <w:pPr>
              <w:spacing w:after="0"/>
              <w:rPr>
                <w:sz w:val="15"/>
                <w:szCs w:val="15"/>
                <w:color w:val="auto"/>
              </w:rPr>
            </w:pPr>
          </w:p>
        </w:tc>
      </w:tr>
      <w:tr>
        <w:trPr>
          <w:trHeight w:val="183"/>
        </w:trPr>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Prepaid insurance</w:t>
            </w:r>
          </w:p>
        </w:tc>
        <w:tc>
          <w:tcPr>
            <w:tcW w:w="2960" w:type="dxa"/>
            <w:vAlign w:val="bottom"/>
            <w:gridSpan w:val="2"/>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453</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140" w:type="dxa"/>
            <w:vAlign w:val="bottom"/>
          </w:tcPr>
          <w:p>
            <w:pPr>
              <w:spacing w:after="0"/>
              <w:rPr>
                <w:sz w:val="15"/>
                <w:szCs w:val="15"/>
                <w:color w:val="auto"/>
              </w:rPr>
            </w:pPr>
          </w:p>
        </w:tc>
      </w:tr>
      <w:tr>
        <w:trPr>
          <w:trHeight w:val="191"/>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Deferred direct contract acquisition costs</w:t>
            </w:r>
          </w:p>
        </w:tc>
        <w:tc>
          <w:tcPr>
            <w:tcW w:w="2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805</w:t>
            </w:r>
          </w:p>
        </w:tc>
        <w:tc>
          <w:tcPr>
            <w:tcW w:w="1140" w:type="dxa"/>
            <w:vAlign w:val="bottom"/>
          </w:tcPr>
          <w:p>
            <w:pPr>
              <w:spacing w:after="0"/>
              <w:rPr>
                <w:sz w:val="16"/>
                <w:szCs w:val="16"/>
                <w:color w:val="auto"/>
              </w:rPr>
            </w:pPr>
          </w:p>
        </w:tc>
      </w:tr>
      <w:tr>
        <w:trPr>
          <w:trHeight w:val="191"/>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Prepaid offering costs</w:t>
            </w:r>
          </w:p>
        </w:tc>
        <w:tc>
          <w:tcPr>
            <w:tcW w:w="2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140" w:type="dxa"/>
            <w:vAlign w:val="bottom"/>
          </w:tcPr>
          <w:p>
            <w:pPr>
              <w:spacing w:after="0"/>
              <w:rPr>
                <w:sz w:val="16"/>
                <w:szCs w:val="16"/>
                <w:color w:val="auto"/>
              </w:rPr>
            </w:pPr>
          </w:p>
        </w:tc>
      </w:tr>
      <w:tr>
        <w:trPr>
          <w:trHeight w:val="191"/>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Other prepaid expenses and current assets</w:t>
            </w:r>
          </w:p>
        </w:tc>
        <w:tc>
          <w:tcPr>
            <w:tcW w:w="2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140" w:type="dxa"/>
            <w:vAlign w:val="bottom"/>
          </w:tcPr>
          <w:p>
            <w:pPr>
              <w:spacing w:after="0"/>
              <w:rPr>
                <w:sz w:val="16"/>
                <w:szCs w:val="16"/>
                <w:color w:val="auto"/>
              </w:rPr>
            </w:pPr>
          </w:p>
        </w:tc>
      </w:tr>
      <w:tr>
        <w:trPr>
          <w:trHeight w:val="223"/>
        </w:trPr>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prepaid expenses and other current assets</w:t>
            </w:r>
          </w:p>
        </w:tc>
        <w:tc>
          <w:tcPr>
            <w:tcW w:w="2960" w:type="dxa"/>
            <w:vAlign w:val="bottom"/>
            <w:gridSpan w:val="2"/>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4"/>
              </w:rPr>
              <w:t>1,481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140" w:type="dxa"/>
            <w:vAlign w:val="bottom"/>
          </w:tcPr>
          <w:p>
            <w:pPr>
              <w:spacing w:after="0"/>
              <w:rPr>
                <w:sz w:val="19"/>
                <w:szCs w:val="19"/>
                <w:color w:val="auto"/>
              </w:rPr>
            </w:pPr>
          </w:p>
        </w:tc>
      </w:tr>
      <w:tr>
        <w:trPr>
          <w:trHeight w:val="358"/>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jc w:val="right"/>
              <w:ind w:right="1700"/>
              <w:spacing w:after="0"/>
              <w:rPr>
                <w:sz w:val="20"/>
                <w:szCs w:val="20"/>
                <w:color w:val="auto"/>
              </w:rPr>
            </w:pPr>
            <w:r>
              <w:rPr>
                <w:rFonts w:ascii="Arial" w:cs="Arial" w:eastAsia="Arial" w:hAnsi="Arial"/>
                <w:sz w:val="16"/>
                <w:szCs w:val="16"/>
                <w:color w:val="auto"/>
              </w:rPr>
              <w:t>130</w:t>
            </w:r>
          </w:p>
        </w:tc>
        <w:tc>
          <w:tcPr>
            <w:tcW w:w="7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4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4"/>
          </w:cols>
          <w:pgMar w:left="316" w:top="744" w:right="31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20"/>
                <w:szCs w:val="20"/>
                <w:color w:val="auto"/>
              </w:rPr>
            </w:pPr>
            <w:r>
              <w:rPr>
                <w:rFonts w:ascii="Arial" w:cs="Arial" w:eastAsia="Arial" w:hAnsi="Arial"/>
                <w:sz w:val="16"/>
                <w:szCs w:val="16"/>
                <w:b w:val="1"/>
                <w:bCs w:val="1"/>
                <w:color w:val="auto"/>
              </w:rPr>
              <w:t>E.</w:t>
            </w:r>
          </w:p>
        </w:tc>
        <w:tc>
          <w:tcPr>
            <w:tcW w:w="71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Property and Equipment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7520" w:type="dxa"/>
            <w:vAlign w:val="bottom"/>
            <w:gridSpan w:val="3"/>
          </w:tcPr>
          <w:p>
            <w:pPr>
              <w:spacing w:after="0"/>
              <w:rPr>
                <w:sz w:val="20"/>
                <w:szCs w:val="20"/>
                <w:color w:val="auto"/>
              </w:rPr>
            </w:pPr>
            <w:r>
              <w:rPr>
                <w:rFonts w:ascii="Arial" w:cs="Arial" w:eastAsia="Arial" w:hAnsi="Arial"/>
                <w:sz w:val="16"/>
                <w:szCs w:val="16"/>
                <w:color w:val="auto"/>
              </w:rPr>
              <w:t>Property and equipment consists of the following (in thousands):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643</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Computers and hardware</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lease right-of-use assets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2,765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1,039</w:t>
            </w:r>
          </w:p>
        </w:tc>
        <w:tc>
          <w:tcPr>
            <w:tcW w:w="2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6"/>
                <w:szCs w:val="16"/>
                <w:color w:val="auto"/>
              </w:rPr>
              <w:t>The estimated useful lives of property and equipment are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b w:val="1"/>
                <w:bCs w:val="1"/>
                <w:color w:val="auto"/>
                <w:w w:val="95"/>
              </w:rPr>
              <w:t>Useful Life</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 Category</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78"/>
              </w:rPr>
              <w:t>10</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6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Computers and hardware</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93"/>
              </w:rPr>
              <w:t>3 - 7</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4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Depreciation and amortization expense, including amounts pertaining to assets held under finance leases, was approximately $273,000 and $304,000 for the years ended December 31, 2020 and 2019, respectively.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20"/>
                <w:szCs w:val="20"/>
                <w:color w:val="auto"/>
              </w:rPr>
            </w:pPr>
            <w:r>
              <w:rPr>
                <w:rFonts w:ascii="Arial" w:cs="Arial" w:eastAsia="Arial" w:hAnsi="Arial"/>
                <w:sz w:val="16"/>
                <w:szCs w:val="16"/>
                <w:b w:val="1"/>
                <w:bCs w:val="1"/>
                <w:color w:val="auto"/>
              </w:rPr>
              <w:t>F.</w:t>
            </w:r>
          </w:p>
        </w:tc>
        <w:tc>
          <w:tcPr>
            <w:tcW w:w="4900" w:type="dxa"/>
            <w:vAlign w:val="bottom"/>
            <w:gridSpan w:val="2"/>
          </w:tcPr>
          <w:p>
            <w:pPr>
              <w:ind w:left="280"/>
              <w:spacing w:after="0"/>
              <w:rPr>
                <w:sz w:val="20"/>
                <w:szCs w:val="20"/>
                <w:color w:val="auto"/>
              </w:rPr>
            </w:pPr>
            <w:r>
              <w:rPr>
                <w:rFonts w:ascii="Arial" w:cs="Arial" w:eastAsia="Arial" w:hAnsi="Arial"/>
                <w:sz w:val="16"/>
                <w:szCs w:val="16"/>
                <w:b w:val="1"/>
                <w:bCs w:val="1"/>
                <w:color w:val="auto"/>
              </w:rPr>
              <w:t>Accounts Payable and Accrued Expenses</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5300" w:type="dxa"/>
            <w:vAlign w:val="bottom"/>
            <w:gridSpan w:val="3"/>
          </w:tcPr>
          <w:p>
            <w:pPr>
              <w:spacing w:after="0"/>
              <w:rPr>
                <w:sz w:val="20"/>
                <w:szCs w:val="20"/>
                <w:color w:val="auto"/>
              </w:rPr>
            </w:pPr>
            <w:r>
              <w:rPr>
                <w:rFonts w:ascii="Arial" w:cs="Arial" w:eastAsia="Arial" w:hAnsi="Arial"/>
                <w:sz w:val="16"/>
                <w:szCs w:val="16"/>
                <w:color w:val="auto"/>
                <w:w w:val="93"/>
              </w:rPr>
              <w:t>Accounts payable and accrued expenses consist of the following (in thousands):</w:t>
            </w: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0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w w:val="89"/>
              </w:rPr>
              <w:t>2019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30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4"/>
              </w:rPr>
              <w:t>1,158</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Accrued banking fees</w:t>
            </w:r>
          </w:p>
        </w:tc>
        <w:tc>
          <w:tcPr>
            <w:tcW w:w="2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Accrued severance</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Accrued payroll</w:t>
            </w:r>
          </w:p>
        </w:tc>
        <w:tc>
          <w:tcPr>
            <w:tcW w:w="2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1,299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4"/>
              </w:rPr>
              <w:t>1,639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Accounts payable</w:t>
            </w:r>
          </w:p>
        </w:tc>
        <w:tc>
          <w:tcPr>
            <w:tcW w:w="2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1,174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accrued expenses</w:t>
            </w:r>
          </w:p>
        </w:tc>
        <w:tc>
          <w:tcPr>
            <w:tcW w:w="2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Total accounts payable and accrued expenses</w:t>
            </w:r>
          </w:p>
        </w:tc>
        <w:tc>
          <w:tcPr>
            <w:tcW w:w="30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6,647</w:t>
            </w:r>
          </w:p>
        </w:tc>
        <w:tc>
          <w:tcPr>
            <w:tcW w:w="5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4,911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20" w:type="dxa"/>
            <w:vAlign w:val="bottom"/>
            <w:vMerge w:val="restart"/>
          </w:tcPr>
          <w:p>
            <w:pPr>
              <w:jc w:val="right"/>
              <w:ind w:right="1700"/>
              <w:spacing w:after="0"/>
              <w:rPr>
                <w:sz w:val="20"/>
                <w:szCs w:val="20"/>
                <w:color w:val="auto"/>
              </w:rPr>
            </w:pPr>
            <w:r>
              <w:rPr>
                <w:rFonts w:ascii="Arial" w:cs="Arial" w:eastAsia="Arial" w:hAnsi="Arial"/>
                <w:sz w:val="16"/>
                <w:szCs w:val="16"/>
                <w:color w:val="auto"/>
              </w:rPr>
              <w:t>131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59" w:right="319" w:bottom="1440" w:gutter="0" w:footer="0" w:header="0"/>
        </w:sectPr>
      </w:pPr>
    </w:p>
    <w:bookmarkStart w:id="131" w:name="page132"/>
    <w:bookmarkEnd w:id="131"/>
    <w:p>
      <w:pPr>
        <w:ind w:left="684" w:hanging="684"/>
        <w:spacing w:after="0"/>
        <w:tabs>
          <w:tab w:leader="none" w:pos="684"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Debt Obligations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December 31, 2020 and 2019, the Company had convertible notes outstanding, in the aggregate principal amounts, as follows (in thousands):</w:t>
      </w:r>
    </w:p>
    <w:p>
      <w:pPr>
        <w:spacing w:after="0" w:line="194" w:lineRule="exact"/>
        <w:rPr>
          <w:sz w:val="20"/>
          <w:szCs w:val="20"/>
          <w:color w:val="auto"/>
        </w:rPr>
      </w:pPr>
    </w:p>
    <w:tbl>
      <w:tblPr>
        <w:tblLayout w:type="fixed"/>
        <w:tblInd w:w="1124"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183"/>
        </w:trPr>
        <w:tc>
          <w:tcPr>
            <w:tcW w:w="6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2019</w:t>
            </w: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Deerfield Convertible Note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7,464</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2021 Notes</w:t>
            </w:r>
          </w:p>
        </w:tc>
        <w:tc>
          <w:tcPr>
            <w:tcW w:w="26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191"/>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December 2019 Notes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57,593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70,218</w:t>
            </w: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January 2020 Notes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outstanding principal on debt obligations</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68,243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80,199</w:t>
            </w: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Less: debt issuance costs and discounts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w:t>
            </w:r>
          </w:p>
        </w:tc>
      </w:tr>
      <w:tr>
        <w:trPr>
          <w:trHeight w:val="239"/>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Convertible notes, net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67,658</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77,343</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Deerfield Facility Agreement</w:t>
      </w:r>
    </w:p>
    <w:p>
      <w:pPr>
        <w:spacing w:after="0" w:line="198"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w:t>
      </w:r>
    </w:p>
    <w:p>
      <w:pPr>
        <w:spacing w:after="0" w:line="16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Deerfield is no longer obligated to provide the Company any additional disbursements under the Deerfield Facility Agreement. Deerfield may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46" w:lineRule="exact"/>
        <w:rPr>
          <w:sz w:val="20"/>
          <w:szCs w:val="20"/>
          <w:color w:val="auto"/>
        </w:rPr>
      </w:pPr>
    </w:p>
    <w:p>
      <w:pPr>
        <w:jc w:val="both"/>
        <w:ind w:left="4" w:right="20"/>
        <w:spacing w:after="0" w:line="291" w:lineRule="auto"/>
        <w:rPr>
          <w:sz w:val="20"/>
          <w:szCs w:val="20"/>
          <w:color w:val="auto"/>
        </w:rPr>
      </w:pPr>
      <w:r>
        <w:rPr>
          <w:rFonts w:ascii="Arial" w:cs="Arial" w:eastAsia="Arial" w:hAnsi="Arial"/>
          <w:sz w:val="14"/>
          <w:szCs w:val="14"/>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(June 2018 and June 2019). In June 2018, Deerfield agreed to convert the $3,333,333 of the principal amount then due, plus $168,288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 (i) 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is also obligated to repay principal of the Deerfield Convertible Note in the amount of $6,980,824 plus any capitalized interest to date on March 31, 2021. Prepayment of the outstanding balance is not allowed without written consent of Deerfield.</w:t>
      </w:r>
    </w:p>
    <w:p>
      <w:pPr>
        <w:spacing w:after="0" w:line="147" w:lineRule="exact"/>
        <w:rPr>
          <w:sz w:val="20"/>
          <w:szCs w:val="20"/>
          <w:color w:val="auto"/>
        </w:rPr>
      </w:pPr>
    </w:p>
    <w:p>
      <w:pPr>
        <w:jc w:val="both"/>
        <w:ind w:left="4"/>
        <w:spacing w:after="0" w:line="317" w:lineRule="auto"/>
        <w:rPr>
          <w:sz w:val="20"/>
          <w:szCs w:val="20"/>
          <w:color w:val="auto"/>
        </w:rPr>
      </w:pPr>
      <w:r>
        <w:rPr>
          <w:rFonts w:ascii="Arial" w:cs="Arial" w:eastAsia="Arial" w:hAnsi="Arial"/>
          <w:sz w:val="14"/>
          <w:szCs w:val="14"/>
          <w:color w:val="auto"/>
        </w:rPr>
        <w:t>Pursuant to the Deerfield Facility Agreement, the Company issued to Deerfield 1,923,077 shares of Series D redeemable convertible preferred stock (“Series D Preferred”) as consideration for the loans provided to the Company thereunder. Upon completion of the initial public offering, these shares of Series D Preferred automatically reclassified into 256,410 shares of the Company’s common stock. After giving effect to the Reverse Stock Split effected in December 2020, the reclassified shares became 16,025 shares.</w:t>
      </w:r>
    </w:p>
    <w:p>
      <w:pPr>
        <w:spacing w:after="0" w:line="127" w:lineRule="exact"/>
        <w:rPr>
          <w:sz w:val="20"/>
          <w:szCs w:val="20"/>
          <w:color w:val="auto"/>
        </w:rPr>
      </w:pPr>
    </w:p>
    <w:p>
      <w:pPr>
        <w:jc w:val="both"/>
        <w:ind w:left="4" w:right="20"/>
        <w:spacing w:after="0" w:line="272" w:lineRule="auto"/>
        <w:rPr>
          <w:sz w:val="20"/>
          <w:szCs w:val="20"/>
          <w:color w:val="auto"/>
        </w:rPr>
      </w:pPr>
      <w:r>
        <w:rPr>
          <w:rFonts w:ascii="Arial" w:cs="Arial" w:eastAsia="Arial" w:hAnsi="Arial"/>
          <w:sz w:val="15"/>
          <w:szCs w:val="15"/>
          <w:color w:val="auto"/>
        </w:rPr>
        <w:t>The Company also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was further adjusted to $46.25 per share in connection with the Company entering into the Inducement Letters (as defined in Note R) which triggered the anti-dilution provisions of the Deerfield Warrant. This warrant qualifies as a participating security under ASC Topic 260, Earnings per Share, and is treated as such in the net loss per share calculation (Note O).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57"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are amortized over the term of the related debt and the expense is recorded as interest expense related to amortization of debt issuance costs and discount in the statements of operations.</w:t>
      </w:r>
    </w:p>
    <w:p>
      <w:pPr>
        <w:spacing w:after="0" w:line="146" w:lineRule="exact"/>
        <w:rPr>
          <w:sz w:val="20"/>
          <w:szCs w:val="20"/>
          <w:color w:val="auto"/>
        </w:rPr>
      </w:pPr>
    </w:p>
    <w:p>
      <w:pPr>
        <w:jc w:val="both"/>
        <w:ind w:left="4"/>
        <w:spacing w:after="0" w:line="295" w:lineRule="auto"/>
        <w:rPr>
          <w:sz w:val="20"/>
          <w:szCs w:val="20"/>
          <w:color w:val="auto"/>
        </w:rPr>
      </w:pPr>
      <w:r>
        <w:rPr>
          <w:rFonts w:ascii="Arial" w:cs="Arial" w:eastAsia="Arial" w:hAnsi="Arial"/>
          <w:sz w:val="14"/>
          <w:szCs w:val="14"/>
          <w:color w:val="auto"/>
        </w:rPr>
        <w:t>Pursuant to the Deerfield Facility Agreement, the Company may not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44"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The Deerfield Facility Agreement also includes high yield discount obligation protections that went into effect in June 2019. Going forward, if at any interest payment date our outstanding indebtedness under the Deerfield Facility Agreement would qualify as an “applicable high yield discount obligation” under the Internal Revenue Code of 1986 (the” Code”) then the Company is obligated to prepay in cash on each such date the amount necessary to avoid such classification.</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i w:val="1"/>
          <w:iCs w:val="1"/>
          <w:color w:val="auto"/>
        </w:rPr>
        <w:t>Issuance of 5.50% Senior Convertible Notes and Third Amendment to Senior Secured Convertible Note and Warrant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6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be approximately 3.6528 shares of the Company’s common stock per $1,000 principal amount of the 2021 Notes, which is equal to a conversion price of approximately $273.76 per share.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included customary terms and covenants, including certain events of default after which the 2021 Notes may be due and payable immediately.</w:t>
      </w:r>
    </w:p>
    <w:p>
      <w:pPr>
        <w:spacing w:after="0" w:line="198"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As described in more detail below, in multiple exchanges occurring in October 2018,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i w:val="1"/>
          <w:iCs w:val="1"/>
          <w:color w:val="auto"/>
        </w:rPr>
        <w:t>Facility Agreement Waiver and Fifth Amendment to Senior Secured Convertible Note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June 2018, the Company entered into the Facility Agreement Waiver and Fifth Amendment (the “Fifth Amendment”) to the Deerfield Convertible Note with Deerfield. The Fifth Amendment, among other things, provided that (i) $3,333,333 of the principal amount, plus $168,288 of accrued interest, of the Deerfield Convertible Note issued pursuant to the terms of the Deerfield Facility Agreement was converted into 37,410 shares of the Company’s common stock, with such principal conversion amount being applied against and in full satisfaction of the amortization payment due June 2, 2018; (ii) Deerfield waived specified rights under the Deerfield Facility Agreement with regards to such principal and interest amount; and (iii) amended specified provisions of the Deerfield Convertible Note as they relate to the delivery of shares of the Company’s common stock in connection with any conversion of the Deerfield Convertible Note.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Note Exchange Effected in October 2018</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October 2018, the Company entered into an exchange agreement (the “October 2018 Exchange Agreement”) with Deerfield and Deerfield Special Situations Fund, L.P. (the “Deerfield Lenders”). Under the October 2018 Exchange Agreement, the Deerfield Lenders exchanged an aggregate of $9,577,000 principal amount of the 2021 Notes for an aggregate of 9,577 shares of Series A Convertible Preferred Stock, par value $0.0001 (“Series A Preferred Stock”).</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a condition to closing of the October 2018 Exchange Agreement, the Company filed a Certificate of Designation of Preferences, Rights and Limitations of Series A Convertible Preferred Stock (the “Series A Certificate of Designation”) with the Secretary of State of the State Delaware, setting forth the preferences, rights and limitations of the Series A Preferred Stock.</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Each share of Series A Preferred Stock has an aggregate stated value of $1,000 and is convertible into shares of common stock at a price equal to $3.00 per share (subject to adjustment to reflect stock splits and similar events). Immediately following the exchange under the October 2018 Exchange Agreement, there were an aggregate of 3,192,333 shares of common stock issuable upon conversion of the then outstanding Series A Preferred Stock (without giving effect to the limitation on conversion described below). After giving effect to the Reverse Stock Split effected in December 2020, the conversion price of the Series A Preferred Stock would be $48.00 per share and shares of common stock issuable upon conversion of the Series A Preferred Stock would be 199,519 shares of common stock. As of December 31, 2020, all 9,577 shares of Series A Preferred Stock issued under the October 2018 Exchange Agreement have been converted into an aggregate 199,519 shares of the Company’s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i w:val="1"/>
          <w:iCs w:val="1"/>
          <w:color w:val="auto"/>
        </w:rPr>
        <w:t>2021 Note Exchange Effected in September 2019</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In September 2019, the Company entered into an Exchange Agreement and Amendment to Facility Agreement (the “September 2019 Exchange Agreement”) with the Deerfield Lenders. Under the September 2019 Exchange Agreement, the Company issued an aggregate of 93,742 shares of the Company’s common stock and an aggregate of 1,576 shares of the Company’s Series B-1 Convertible Preferred Stock, par value $0.0001 per share (“Series B-1 Preferred Stock”) (such shares of common stock and Series B-1 Preferred Stock, the “Initial Exchange Shares”), in exchange for the cancellation of an aggregate of $3,000,000 principal amount of the Company’s 2021 Notes. The September 2019 Exchange Agreement provided the Deerfield Lenders the option to exchange up to an additional aggregate of $27,000,000 principal amount of the 2021 Notes (the “Optional Exchange Principal Amount”) for shares of common stock or shares of the Company’s Series B-2 Convertible Preferred Stock, par value $0.0001 per share (the “Series B-2 Preferred Stock” and, together with the Series B-1 Preferred Stock, the “Series B Preferred Stock”), subject to the terms and conditions set forth in the September 2019 Exchange Agreement, including limits as to the principal amount that can be exchanged prior to specified dates therein. If the Deerfield Lenders choose to exchange any portion of the Optional Exchange Principal Amount for shares of Series B-2 Preferred Stock, such exchange would be effected at an exchange price of $1,000 per share. If the Deerfield Lenders choose to exchange any portion of the Optional Exchange Principal Amount for shares of common stock, such exchange would be effected at an exchange price equal to the greater of (i) $0.9494, or (ii) the average of the volume-weighted average price of the common stock on the principal securities exchange or trading market on which the common stock is then trading on each of the 15 trading days immediately preceding such exchange. After giving effect to the Reverse Stock Split effected in December 2020, the exchange price of the Optional Exchange Principal Amount would be $15.1904 or the average of the volume-weighted average price of the common stock on the principal securities exchange or trading market on which the common stock is then trading on each of the 15 trading days immediately preceding such exchange.</w:t>
      </w:r>
    </w:p>
    <w:p>
      <w:pPr>
        <w:spacing w:after="0" w:line="15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a condition to closing of the September 2019 Exchange Agreement, the Company filed a Certificate of Designation of Preferences, Rights and Limitations of Series B-1 Convertible Preferred Stock (the “Series B-1 Certificate of Designation”) and a Certificate of Designation of Preferences, Rights and Limitations of Series B-2 Convertible Preferred Stock (the “Series B-2 Certificate of Designation”) with the Secretary of State of the State Delaware, setting forth the preferences, rights and limitations of the Series B-1 Preferred Stock and the Series B-2 Preferred Stock, respectively.</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Each share of Series B-1 Preferred Stock has an aggregate stated value of $1,000 and is convertible into shares of common stock at a per share price equal to $0.9494 per share (subject to adjustment to reflect stock splits and similar events). Immediately following the exchange under the September 2019 Exchange Agreement, there were an aggregate of 1,659,996 shares of common stock issuable upon conversion of the then outstanding Series B-1 Preferred Stock (without giving effect to the limitation on conversion described below). After giving effect to the Reverse Stock Split effected in December 2020, the conversion price of the Series B-1 Preferred Stock would be $15.1904 and the shares of common stock issuable upon conversion of the Series B-1 Preferred Stock would be 103,749 shares of common stock. Each share of Series B-2 Preferred Stock has an aggregate stated value of $1,000 and is convertible into shares of common stock at a per share price equal to the greater of (i) $0.9494 (subject to adjustment to reflect stock splits and similar events), or (ii) the average of the volume-weighted average prices of the common stock on the principal securities exchange or trading market on which the common stock is then trading on each of the 15 trading days immediately preceding such exchange. Immediately following the exchange under the September 2019 Exchange Agreement there was an aggregate of 28,439,015 shares of Common Stock issuable (i) in exchange of the Optional Exchange Principal Amount, or (ii) upon conversion of the Series B-2 Preferred Stock issuable in exchange of the Optional Exchange Principal Amount (in each case without giving effect to the limitation on conversion described below). After giving effect to the Reverse Stock Split effected in December 2020, the conversion price of the Series B-2 Preferred Stock would be $15.1904 or the average of the volume-weighted average price of the common stock on the principal securities exchange or trading market on which the common stock is then trading on each of the 15 trading days immediately preceding such exchange and the shares of stock issuable in exchange of the Optional Exchange Principal Amount or upon conversion of Series B-2 Preferred stock would be 1,777,437 shares of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35" w:name="page136"/>
    <w:bookmarkEnd w:id="135"/>
    <w:p>
      <w:pPr>
        <w:jc w:val="both"/>
        <w:spacing w:after="0" w:line="290" w:lineRule="auto"/>
        <w:rPr>
          <w:sz w:val="20"/>
          <w:szCs w:val="20"/>
          <w:color w:val="auto"/>
        </w:rPr>
      </w:pPr>
      <w:r>
        <w:rPr>
          <w:rFonts w:ascii="Arial" w:cs="Arial" w:eastAsia="Arial" w:hAnsi="Arial"/>
          <w:sz w:val="14"/>
          <w:szCs w:val="14"/>
          <w:color w:val="auto"/>
        </w:rPr>
        <w:t>The Series B Preferred Stock is convertible at any time at the option of the Deerfield Lenders; provided that the Deerfield Lenders are prohibited from converting shares of Series B Preferred Stock into shares of common stock if, as a result of such conversion, such holders (together with certain affiliates and “group” members of such holders) would beneficially own more than 4.985% of the total number of shares of common stock then issued and outstanding. The Series B Preferred Stock is not redeemable. In the event of the Company’s liquidation, dissolution or winding up, the Deerfield Lenders will receive an amount equal to $0.0001 per share, plus any declared but unpaid dividends, and thereafter will share ratably in any distribution of the Company’s assets with holders of common stock and with the holders of any shares of any other class or series of capital stock of the Company entitled to share in such remaining assets of the Company (including the Series A Preferred Stock on an as-converted basis). With respect to rights upon liquidation, the Series B Preferred Stock ranks senior to the common stock, on parity with the Series A Preferred Stock, if any is outstanding, and junior to existing and future indebtedness. Except as otherwise required by law (or with respect to approval of certain actions involving the Company’s organizational documents that materially and adversely affect the holders of Series B Preferred Stock), the Series B Preferred Stock does not have voting rights. The Series B Preferred Stock is not subject to any price-based anti-dilution protections and does not provide for any accruing dividends, but provides that holders of Series B Preferred Stock will participate in any dividends on the common stock on an as-converted basis (without giving effect to the limitation on conversion described above). The Series B-1 Certificate of Designation and the Series B-2 Certificate of Designation also provide for partial liquidated damages in the event that the Company fails to timely convert shares of Series B-1 Preferred Stock or Series B-2 Preferred Stock, respectively, into common stock in accordance with the applicable certificate of designation.</w:t>
      </w:r>
    </w:p>
    <w:p>
      <w:pPr>
        <w:spacing w:after="0" w:line="1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2020, all 1,576 shares of Series B-1 Preferred Stock issued under the September 2019 Exchange Agreement have been converted into an aggregate of 103,749 shares of common stock, and there were no shares of Series B-2 Preferred Stock outstanding.</w:t>
      </w:r>
    </w:p>
    <w:p>
      <w:pPr>
        <w:spacing w:after="0" w:line="15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September 2019 Exchange Agreement also amended the Deerfield Facility Agreement, in order to (i) reduce the interest rate applicable under the Deerfield Facility Agreement from 9.75% to 6.75%, (ii) provide for “payment in kind” of interest on the Loans (as defined in the Deerfield Facility Agreement), and (iii) defer the Loan payments pursuant to the Deerfield Facility Agreement until June 1, 2020. The September 2019 Exchange Agreement contains customary representations, warranties and covenants made by the Company and the Holders. The September 2019 Exchange Agreement also requires the Company to reimburse the Holders for up to $150,000 of expenses relating to the transactions contemplated by the September 2019 Exchange Agreement.</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 xml:space="preserve">The Company determined the changes to the Deerfield Facility Agreement met the definition of a troubled debt restructuring under ASC 470-60, </w:t>
      </w:r>
      <w:r>
        <w:rPr>
          <w:rFonts w:ascii="Arial" w:cs="Arial" w:eastAsia="Arial" w:hAnsi="Arial"/>
          <w:sz w:val="16"/>
          <w:szCs w:val="16"/>
          <w:i w:val="1"/>
          <w:iCs w:val="1"/>
          <w:color w:val="auto"/>
        </w:rPr>
        <w:t>Troubled Debt Restructurings</w:t>
      </w:r>
      <w:r>
        <w:rPr>
          <w:rFonts w:ascii="Arial" w:cs="Arial" w:eastAsia="Arial" w:hAnsi="Arial"/>
          <w:sz w:val="16"/>
          <w:szCs w:val="16"/>
          <w:color w:val="auto"/>
        </w:rPr>
        <w:t xml:space="preserve"> </w:t>
      </w:r>
      <w:r>
        <w:rPr>
          <w:rFonts w:ascii="Arial" w:cs="Arial" w:eastAsia="Arial" w:hAnsi="Arial"/>
          <w:sz w:val="16"/>
          <w:szCs w:val="16"/>
          <w:i w:val="1"/>
          <w:iCs w:val="1"/>
          <w:color w:val="auto"/>
        </w:rPr>
        <w:t>by Debtors</w:t>
      </w:r>
      <w:r>
        <w:rPr>
          <w:rFonts w:ascii="Arial" w:cs="Arial" w:eastAsia="Arial" w:hAnsi="Arial"/>
          <w:sz w:val="16"/>
          <w:szCs w:val="16"/>
          <w:color w:val="auto"/>
        </w:rPr>
        <w:t>, as the Company was experiencing financial difficulties and Deerfield granted a concession. The amendments to the terms of the Deerfield Facility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in no gain on restructuring because the total cash outflows required under the amended Deerfield Facility Agreement exceeded the carrying value of the original Deerfield Facility Agreement immediately prior to amendment. Prospectively, the Deerfield Facility Agreement, and the associated Deerfield Convertible Note will continue to be carried net of the associated discount and debt issuance costs which will be amortized and recorded as interest expense using a modified effective interest rate based on the amendments.</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changes to the 2021 Notes, under the September 2019 Exchange Agreement, were accounted for as a debt modification with the $2.3 million change in fair value of the embedded conversion feature, associated with the Optional Exchange Principal Amount, recorded as an increase to additional paid in capital and as a debt discount to be amortized to interest expense under the effective interest method over the remaining term of the 2021 Notes.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i w:val="1"/>
          <w:iCs w:val="1"/>
          <w:color w:val="auto"/>
        </w:rPr>
        <w:t>2021 Note Exchange Effected in December 2019</w:t>
      </w:r>
    </w:p>
    <w:p>
      <w:pPr>
        <w:spacing w:after="0" w:line="198"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$71,418,011 (the “December 2019 Notes”), in exchange for the cancellation of an aggregate of $71,418,011 principal amount and accrued interest of the Company’s 2021 Notes. Upon entering into the December 2019 Exchange Agreement, the Company agreed to pay the December 2019 Holders, in the aggregate, an interest payment of $745,011 which represents 50% of the accrued interest, as of December 18, 2019, on the 2021 Notes owned by the December 2019 Holders. The remainder of such interest was included in the principal amount of the December 2019 Notes.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December 2019 Notes bear interest at 6.75% per annum. The December 2019 Notes are convertible into shares of the Company’s common stock at an initial conversion price of $17.11 per share (which represents the conversion price of the 2021 Notes), subject to adjustment in accordance with the terms of the December 2019 Notes. As of the date of issuance, the December 2019 Notes were convertible, by their terms, into an aggregate of 4,174,051 shares of the Company’s common stock. After giving effect to the Reverse Stock Split effected in December 2020, the conversion price of the December 2019 Notes would be $273.76 per share and the shares of the Company’s common stock issuable upon conversion of the December 2019 Notes would be 260,876 shares of common stock. The Company subsequently amended the December 2019 Notes to provide that such notes shall be convertible into shares of the Company’s common stock at a conversion price of $93.60 per share (which represents the conversion price of the Deerfield Convertible Note). The conversion price of the December 2019 Notes will be adjusted downward if the Company issues or sells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effects an “at the market offering” as defined in Rule 415 of the Securities Act, of its common stock, the conversion price of the December 2019 Notes will be adjusted downward pursuant to this anti-dilution adjustment only if such sales are made at a price less than $93.60 per share, provided that this anti-dilution adjustment will not apply to any sales made under (x) the 2020 ELOC, (y) the ATM Agreement, or (z) the September 2019 Exchange Agreement (as amended). Notwithstanding anything in the contrary in the December 2019 Notes, the anti-dilution adjustment of such notes shall not result in the conversion price of the December 2019 Notes being less than $9.328 per share. The December 2019 Notes are convertible at any time at the option of the holders thereof, provided that a holder of a December 2019 Note is prohibited from converting such note into shares of the Company’s common stock if, as a result of such conversion, such holder (together with certain affiliates and “group” members) would beneficially own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has a beneficial ownership cap equal to 19.985% of the total number of shares of the Company’s common stock then issued and outstanding. Pursuant to the December 2019 Notes, the December 2019 Holders have the option to demand repayment of all outstanding principal, and any unpaid interest accrued thereon, in connection with a Major Transaction (as defined in the December 2019 Notes), which shall include,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are subject to specified events of default, the occurrence of which would entitle the December 2019 Holders to immediately demand repayment of all outstanding principal and accrued interest on the December 2019 Notes. Such events of default include,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34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December 2019 Exchange Agreement amends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December 2019 Exchange Agreement also amends and restates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remains $93.60 per share, subject to adjustment on the same basis as the December 2019 Notes.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December 2019 Exchange Agreement also amends the Deerfield Warrant to conform the definitions of “Eligible Market” and “Major Transaction” in the Warrant with the definitions of such terms in the December 2019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37" w:name="page138"/>
    <w:bookmarkEnd w:id="137"/>
    <w:p>
      <w:pPr>
        <w:jc w:val="both"/>
        <w:ind w:left="4"/>
        <w:spacing w:after="0" w:line="258" w:lineRule="auto"/>
        <w:rPr>
          <w:sz w:val="20"/>
          <w:szCs w:val="20"/>
          <w:color w:val="auto"/>
        </w:rPr>
      </w:pPr>
      <w:r>
        <w:rPr>
          <w:rFonts w:ascii="Arial" w:cs="Arial" w:eastAsia="Arial" w:hAnsi="Arial"/>
          <w:sz w:val="16"/>
          <w:szCs w:val="16"/>
          <w:color w:val="auto"/>
        </w:rPr>
        <w:t>The December 2019 Exchange Agreement contains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65"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 (i) provide that all of the notes will be secured by the liens securing the indebtedness under the Deerfield Facility Agreement, and (ii) name Deerfield as the “Collateral Agent” under the GSA.</w:t>
      </w:r>
    </w:p>
    <w:p>
      <w:pPr>
        <w:spacing w:after="0" w:line="146" w:lineRule="exact"/>
        <w:rPr>
          <w:sz w:val="20"/>
          <w:szCs w:val="20"/>
          <w:color w:val="auto"/>
        </w:rPr>
      </w:pPr>
    </w:p>
    <w:p>
      <w:pPr>
        <w:jc w:val="both"/>
        <w:ind w:left="4" w:right="20"/>
        <w:spacing w:after="0" w:line="291" w:lineRule="auto"/>
        <w:rPr>
          <w:sz w:val="20"/>
          <w:szCs w:val="20"/>
          <w:color w:val="auto"/>
        </w:rPr>
      </w:pPr>
      <w:r>
        <w:rPr>
          <w:rFonts w:ascii="Arial" w:cs="Arial" w:eastAsia="Arial" w:hAnsi="Arial"/>
          <w:sz w:val="14"/>
          <w:szCs w:val="14"/>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w:t>
      </w:r>
    </w:p>
    <w:p>
      <w:pPr>
        <w:spacing w:after="0" w:line="1" w:lineRule="exact"/>
        <w:rPr>
          <w:sz w:val="20"/>
          <w:szCs w:val="20"/>
          <w:color w:val="auto"/>
        </w:rPr>
      </w:pPr>
    </w:p>
    <w:p>
      <w:pPr>
        <w:jc w:val="both"/>
        <w:ind w:left="4" w:hanging="4"/>
        <w:spacing w:after="0" w:line="289" w:lineRule="auto"/>
        <w:tabs>
          <w:tab w:leader="none" w:pos="24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be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be 1,777,437 shares of common stock.</w:t>
      </w:r>
    </w:p>
    <w:p>
      <w:pPr>
        <w:spacing w:after="0" w:line="149"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 (i) $9.60 (subject to adjustment to reflect stock splits and similar events), or (ii) the average of the volume-weighted average prices of the Company’s common stock on each of the 15 trading days immediately preceding such exchange.</w:t>
      </w:r>
    </w:p>
    <w:p>
      <w:pPr>
        <w:spacing w:after="0" w:line="155"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As of December 31, 2020, the Deerfield Lenders have converted $17.1 million of principal under the December 2019 Notes into all 1,777,437 shares of common stock available under the Deerfield Optional Conversion Feature.</w:t>
      </w:r>
    </w:p>
    <w:p>
      <w:pPr>
        <w:spacing w:after="0" w:line="152"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 xml:space="preserve">The Company determined the changes to the Deerfield Convertible Note met the definition of a troubled debt restructuring under ASC 470-60, </w:t>
      </w:r>
      <w:r>
        <w:rPr>
          <w:rFonts w:ascii="Arial" w:cs="Arial" w:eastAsia="Arial" w:hAnsi="Arial"/>
          <w:sz w:val="15"/>
          <w:szCs w:val="15"/>
          <w:i w:val="1"/>
          <w:iCs w:val="1"/>
          <w:color w:val="auto"/>
        </w:rPr>
        <w:t>Troubled Debt Restructurings by</w:t>
      </w:r>
      <w:r>
        <w:rPr>
          <w:rFonts w:ascii="Arial" w:cs="Arial" w:eastAsia="Arial" w:hAnsi="Arial"/>
          <w:sz w:val="15"/>
          <w:szCs w:val="15"/>
          <w:color w:val="auto"/>
        </w:rPr>
        <w:t xml:space="preserve"> </w:t>
      </w:r>
      <w:r>
        <w:rPr>
          <w:rFonts w:ascii="Arial" w:cs="Arial" w:eastAsia="Arial" w:hAnsi="Arial"/>
          <w:sz w:val="15"/>
          <w:szCs w:val="15"/>
          <w:i w:val="1"/>
          <w:iCs w:val="1"/>
          <w:color w:val="auto"/>
        </w:rPr>
        <w:t>Debtors</w:t>
      </w:r>
      <w:r>
        <w:rPr>
          <w:rFonts w:ascii="Arial" w:cs="Arial" w:eastAsia="Arial" w:hAnsi="Arial"/>
          <w:sz w:val="15"/>
          <w:szCs w:val="15"/>
          <w:color w:val="auto"/>
        </w:rPr>
        <w:t>, as the Company was experiencing financial difficulties and Deerfield granted a concession. The amendments to the terms of the Deerfield Convertible Note resulted in</w:t>
      </w:r>
      <w:r>
        <w:rPr>
          <w:rFonts w:ascii="Arial" w:cs="Arial" w:eastAsia="Arial" w:hAnsi="Arial"/>
          <w:sz w:val="15"/>
          <w:szCs w:val="15"/>
          <w:i w:val="1"/>
          <w:iCs w:val="1"/>
          <w:color w:val="auto"/>
        </w:rPr>
        <w:t xml:space="preserve"> </w:t>
      </w:r>
      <w:r>
        <w:rPr>
          <w:rFonts w:ascii="Arial" w:cs="Arial" w:eastAsia="Arial" w:hAnsi="Arial"/>
          <w:sz w:val="15"/>
          <w:szCs w:val="15"/>
          <w:color w:val="auto"/>
        </w:rPr>
        <w:t>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55"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33" w:right="31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i w:val="1"/>
          <w:iCs w:val="1"/>
          <w:color w:val="auto"/>
        </w:rPr>
        <w:t>2021 Note Exchange Effected in January 2020</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$3,037,354 (the “January 2020 Note”) in exchange for the cancellation of an aggregate of $3,037,354 principal amount and accrued interest of the 2021 Note then owned by Kingdon. Upon entering into the January 2020 Exchange Agreement, the Company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January 2020 Note was issued with substantially the same terms and conditions as the December 2019 Notes (as amended by the amendment described in more detail below).</w:t>
      </w:r>
    </w:p>
    <w:p>
      <w:pPr>
        <w:spacing w:after="0" w:line="152"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i w:val="1"/>
          <w:iCs w:val="1"/>
          <w:color w:val="auto"/>
        </w:rPr>
        <w:t>December 2020 Exchange Agreement and Amendment to Facility Agreement, Notes and Investors’ Rights Agreement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have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December 2020 Exchange Agreement amends the Facility Agreement Notes to provide that the failure of the Company’s common stock to remain listed on an eligible securities market will not constitute a “Major Transaction” unless such failure occurs after March 31, 2023.</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Subject to the satisfaction or waiver of certain conditions specified in the December 2020 Exchange Agreement, including the making of the Debt Payment and the consummation of the exchange, the December 2020 Exchange Agreement will amend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70"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The December 2020 Exchange Agreement amends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Exchange Warrants to be issued pursuant to the December 2020 Exchange Agreement will be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will be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will provide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40" w:name="page141"/>
    <w:bookmarkEnd w:id="140"/>
    <w:p>
      <w:pPr>
        <w:jc w:val="both"/>
        <w:spacing w:after="0" w:line="258" w:lineRule="auto"/>
        <w:rPr>
          <w:sz w:val="20"/>
          <w:szCs w:val="20"/>
          <w:color w:val="auto"/>
        </w:rPr>
      </w:pPr>
      <w:r>
        <w:rPr>
          <w:rFonts w:ascii="Arial" w:cs="Arial" w:eastAsia="Arial" w:hAnsi="Arial"/>
          <w:sz w:val="16"/>
          <w:szCs w:val="16"/>
          <w:color w:val="auto"/>
        </w:rPr>
        <w:t>The December 2020 Exchange Agreement contains customary representations, warranties and covenants made by the Company and the Facility Agreement Note Holders party thereto, including a covenant of the Company for the benefit of the Facility Agreement Holders party to the Exchange Agreement to file a registration statement to register for resale under the Securities Act the shares of common stock issuable upon exercise of the Exchange Warrants or conversion of the shares of Series B-2 Preferred Stock issued pursuant to the terms of the December 2020 Exchange Agreement.</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are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a condition to closing of the December 2020 Exchange Agreement, the Company has agreed to file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62"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Each share of Series B-2 Preferred Stock will have an aggregate stated value of $1,000 and will be convertible into shares of the Company’s common stock at a per share price equal to the price per share to the public of the Company’s common stock in the Public Offering (subject to adjustment to reflect stock splits and similar events).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Series B-2 Preferred Stock will be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will not be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 (i) $1,000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will rank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will not have voting rights. The Series B-2 Preferred Stock will not be subject to any price-based anti-dilution protections and will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will also provide for partial liquidated damages in the event that the Company fails to timely convert shares of Series B-2 Preferred Stock into common stock in accordance with the Restated Series B-2 Certificate of Designation.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i w:val="1"/>
          <w:iCs w:val="1"/>
          <w:color w:val="auto"/>
        </w:rPr>
        <w:t>Debt Restructuring</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In anticipation of the Public Offering (as defined and discussed in further detail in Note R),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December 2020 Exchange Agreement, the Company, on January 12, 2021, in connection with the closing of the Public Offering:</w:t>
      </w:r>
    </w:p>
    <w:p>
      <w:pPr>
        <w:spacing w:after="0" w:line="198" w:lineRule="exact"/>
        <w:rPr>
          <w:sz w:val="20"/>
          <w:szCs w:val="20"/>
          <w:color w:val="auto"/>
        </w:rPr>
      </w:pPr>
    </w:p>
    <w:p>
      <w:pPr>
        <w:ind w:left="440" w:right="500" w:hanging="217"/>
        <w:spacing w:after="0" w:line="183" w:lineRule="auto"/>
        <w:tabs>
          <w:tab w:leader="none" w:pos="440" w:val="left"/>
        </w:tabs>
        <w:numPr>
          <w:ilvl w:val="0"/>
          <w:numId w:val="57"/>
        </w:numPr>
        <w:rPr>
          <w:rFonts w:ascii="Arial" w:cs="Arial" w:eastAsia="Arial" w:hAnsi="Arial"/>
          <w:sz w:val="30"/>
          <w:szCs w:val="30"/>
          <w:color w:val="auto"/>
          <w:vertAlign w:val="subscript"/>
        </w:rPr>
      </w:pPr>
      <w:r>
        <w:rPr>
          <w:rFonts w:ascii="Arial" w:cs="Arial" w:eastAsia="Arial" w:hAnsi="Arial"/>
          <w:sz w:val="15"/>
          <w:szCs w:val="15"/>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179" w:lineRule="exact"/>
        <w:rPr>
          <w:rFonts w:ascii="Arial" w:cs="Arial" w:eastAsia="Arial" w:hAnsi="Arial"/>
          <w:sz w:val="30"/>
          <w:szCs w:val="30"/>
          <w:color w:val="auto"/>
          <w:vertAlign w:val="subscript"/>
        </w:rPr>
      </w:pPr>
    </w:p>
    <w:p>
      <w:pPr>
        <w:ind w:left="440" w:hanging="217"/>
        <w:spacing w:after="0"/>
        <w:tabs>
          <w:tab w:leader="none" w:pos="4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Made a payment of $30.3 million (the "Debt Payment"), in partial repayment of the remaining outstanding principal and accrued interest of the Facility Notes.</w:t>
      </w:r>
    </w:p>
    <w:p>
      <w:pPr>
        <w:spacing w:after="0" w:line="210"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05" w:lineRule="exact"/>
        <w:rPr>
          <w:sz w:val="20"/>
          <w:szCs w:val="20"/>
          <w:color w:val="auto"/>
        </w:rPr>
      </w:pPr>
    </w:p>
    <w:p>
      <w:pPr>
        <w:ind w:left="440" w:hanging="217"/>
        <w:spacing w:after="0"/>
        <w:tabs>
          <w:tab w:leader="none" w:pos="4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maturity date was changed to March 31, 2023, and the debt is prepayable upon specified conditions, and</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Interest would accrue at the rate of 6.75% per annum, payable quarterly, would be added to principal until June 30, 2021, and then be payable in cash thereafter.</w:t>
      </w:r>
    </w:p>
    <w:p>
      <w:pPr>
        <w:spacing w:after="0" w:line="200" w:lineRule="exact"/>
        <w:rPr>
          <w:sz w:val="20"/>
          <w:szCs w:val="20"/>
          <w:color w:val="auto"/>
        </w:rPr>
      </w:pPr>
    </w:p>
    <w:p>
      <w:pPr>
        <w:spacing w:after="0" w:line="20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Based on the above transactions which occurred after the balance sheet date of December 31, 2020, but prior to the issuance of the financial statement the Company reclassified the entire $68.2 million of convertible notes, and the associated debt issuance costs and discounts, from current to long-term on the balance sheet.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Payoff of Facility Agreement Notes and Termination of Facility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2021, the Company entered into a payoff letter with the Facility Note holders to pay off and thereby terminate the Deerfield Facility Agreement.</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payoff letter, the Company paid a total of $8.0 million to the Facility Note holders, representing the total principal balance and accrued interest outstanding and a prepayment fee in repayment of our outstanding obligations under the Deerfield Facility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of the Debt Restructuring and the payoff of the Facility Notes and termination of the Deerfield Facility Agreement refer to Note 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42" w:name="page143"/>
    <w:bookmarkEnd w:id="142"/>
    <w:p>
      <w:pPr>
        <w:ind w:left="4"/>
        <w:spacing w:after="0"/>
        <w:rPr>
          <w:sz w:val="20"/>
          <w:szCs w:val="20"/>
          <w:color w:val="auto"/>
        </w:rPr>
      </w:pPr>
      <w:r>
        <w:rPr>
          <w:rFonts w:ascii="Arial" w:cs="Arial" w:eastAsia="Arial" w:hAnsi="Arial"/>
          <w:sz w:val="16"/>
          <w:szCs w:val="16"/>
          <w:b w:val="1"/>
          <w:bCs w:val="1"/>
          <w:i w:val="1"/>
          <w:iCs w:val="1"/>
          <w:color w:val="auto"/>
        </w:rPr>
        <w:t>PPP Loan</w:t>
      </w:r>
    </w:p>
    <w:p>
      <w:pPr>
        <w:spacing w:after="0" w:line="198"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On April 23, 2020, the Company received proceeds of $0.8 million from the PPP Loan under the PPP of the recently enacted CARES Act, a portion of which may be forgiven, which the Company used to retain current employees, maintain payroll and make lease and utility payments. The PPP Loan matures on April 23, 2022 and bears annual interest at a rate of 1.0%. Payments of principal and interest on the PPP Loan were originally deferred for the first six months of the PPP Loan term. Thereafter, the Company would have been required to pay the lender equal monthly payments of principal and interest. As of December 31, 2020, $0.4 million of the PPP Loan is recorded on the balance sheet in current portion of loans payable and $0.4 million is recorded in loan payable, less current portion.</w:t>
      </w:r>
    </w:p>
    <w:p>
      <w:pPr>
        <w:spacing w:after="0" w:line="155"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The CARES Act and the PPP provide a mechanism for forgiveness of up to the full amount borrowed. Under the PPP, the Company may apply for and be granted forgiveness for all or part of the PPP Loan. The amount of loan proceeds eligible for forgiveness was originally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provided that at least 75% of the loan amount was used for eligible payroll costs. Subject to the other requirements and limitations on loan forgiveness, only loan proceeds spent on payroll and other eligible costs during the covered eight-week period would have qualified for forgiveness.</w:t>
      </w:r>
    </w:p>
    <w:p>
      <w:pPr>
        <w:spacing w:after="0" w:line="170"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On June 5, 2020, President Trump signed into law the PPP Flexibility Act of 2020 (the “Flexibility Act”), which among other things provided the following important changes to the PPP:</w:t>
      </w:r>
    </w:p>
    <w:p>
      <w:pPr>
        <w:spacing w:after="0" w:line="152" w:lineRule="exact"/>
        <w:rPr>
          <w:sz w:val="20"/>
          <w:szCs w:val="20"/>
          <w:color w:val="auto"/>
        </w:rPr>
      </w:pPr>
    </w:p>
    <w:p>
      <w:pPr>
        <w:jc w:val="both"/>
        <w:ind w:left="444" w:hanging="217"/>
        <w:spacing w:after="0" w:line="262"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Extended the covered period for loan forgiveness from eight weeks after the date of loan disbursement to 24 weeks after the date of loan disbursement, providing substantially greater flexibility for borrowers to qualify for loan forgiveness. Borrowers who had already received PPP loans retained the option to use an eight-week covered period.</w:t>
      </w:r>
    </w:p>
    <w:p>
      <w:pPr>
        <w:spacing w:after="0" w:line="162" w:lineRule="exact"/>
        <w:rPr>
          <w:rFonts w:ascii="Arial" w:cs="Arial" w:eastAsia="Arial" w:hAnsi="Arial"/>
          <w:sz w:val="16"/>
          <w:szCs w:val="16"/>
          <w:color w:val="auto"/>
        </w:rPr>
      </w:pPr>
    </w:p>
    <w:p>
      <w:pPr>
        <w:jc w:val="both"/>
        <w:ind w:left="444" w:right="20" w:hanging="217"/>
        <w:spacing w:after="0" w:line="258"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Lowered the requirements that 75 percent of a borrower’s loan proceeds must be used for payroll costs and that 75 percent of the loan forgiveness amount must have been spent on payroll costs during the 24-week loan forgiveness covered period to 60 percent for each of these requirements. If a borrower uses less than 60 percent of the loan amount for payroll costs during the forgiveness covered period, the borrower will continue to be eligible for partial loan forgiveness, subject to at least 60 percent of the loan forgiveness amount having been used for payroll costs.</w:t>
      </w:r>
    </w:p>
    <w:p>
      <w:pPr>
        <w:spacing w:after="0" w:line="164" w:lineRule="exact"/>
        <w:rPr>
          <w:rFonts w:ascii="Arial" w:cs="Arial" w:eastAsia="Arial" w:hAnsi="Arial"/>
          <w:sz w:val="16"/>
          <w:szCs w:val="16"/>
          <w:color w:val="auto"/>
        </w:rPr>
      </w:pPr>
    </w:p>
    <w:p>
      <w:pPr>
        <w:jc w:val="both"/>
        <w:ind w:left="444" w:hanging="217"/>
        <w:spacing w:after="0" w:line="258"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Provided a safe harbor from reductions in loan forgiveness based on reductions in full-time equivalent employees for borrowers that are unable to return to the same level of business activity the business was operating at before February 15, 2020, due to compliance with requirements or guidance issued between March 1, 2020 and December 31, 2020 by the Secretary of Health and Human Services, the Director of the Centers for Disease Control and Prevention, or the Occupational Safety and Health Administration, related to worker or customer safety requirements related to COVID–19.</w:t>
      </w:r>
    </w:p>
    <w:p>
      <w:pPr>
        <w:spacing w:after="0" w:line="164" w:lineRule="exact"/>
        <w:rPr>
          <w:rFonts w:ascii="Arial" w:cs="Arial" w:eastAsia="Arial" w:hAnsi="Arial"/>
          <w:sz w:val="16"/>
          <w:szCs w:val="16"/>
          <w:color w:val="auto"/>
        </w:rPr>
      </w:pPr>
    </w:p>
    <w:p>
      <w:pPr>
        <w:jc w:val="both"/>
        <w:ind w:left="444" w:right="20" w:hanging="217"/>
        <w:spacing w:after="0" w:line="262"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Provided a safe harbor from reductions in loan forgiveness based on reductions in full-time equivalent employees, to provide protections for borrowers that are both unable to rehire individuals who were employees of the borrower on February 15, 2020, and unable to hire similarly qualified employees for unfilled positions by December 31, 2020.</w:t>
      </w:r>
    </w:p>
    <w:p>
      <w:pPr>
        <w:spacing w:after="0" w:line="162" w:lineRule="exact"/>
        <w:rPr>
          <w:rFonts w:ascii="Arial" w:cs="Arial" w:eastAsia="Arial" w:hAnsi="Arial"/>
          <w:sz w:val="16"/>
          <w:szCs w:val="16"/>
          <w:color w:val="auto"/>
        </w:rPr>
      </w:pPr>
    </w:p>
    <w:p>
      <w:pPr>
        <w:ind w:left="444" w:right="20" w:hanging="217"/>
        <w:spacing w:after="0" w:line="275"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Increased to five years the maturity of PPP loans that are approved by the U.S. Small Business Administration (the “SBA”) (based on the date SBA assigns a loan number) on or after June 5, 2020.</w:t>
      </w:r>
    </w:p>
    <w:p>
      <w:pPr>
        <w:spacing w:after="0" w:line="151" w:lineRule="exact"/>
        <w:rPr>
          <w:rFonts w:ascii="Arial" w:cs="Arial" w:eastAsia="Arial" w:hAnsi="Arial"/>
          <w:sz w:val="16"/>
          <w:szCs w:val="16"/>
          <w:color w:val="auto"/>
        </w:rPr>
      </w:pPr>
    </w:p>
    <w:p>
      <w:pPr>
        <w:ind w:left="444" w:right="20" w:hanging="217"/>
        <w:spacing w:after="0" w:line="309" w:lineRule="auto"/>
        <w:tabs>
          <w:tab w:leader="none" w:pos="444"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Extended the deferral period for borrower payments of principal, interest, and fees on PPP loans to the date that SBA remits the borrower’s loan forgiveness amount to the lender (or, if the borrower does not apply for loan forgiveness, 10 months after the end of the borrower’s loan forgiveness covered period).</w:t>
      </w:r>
    </w:p>
    <w:p>
      <w:pPr>
        <w:spacing w:after="0" w:line="129" w:lineRule="exact"/>
        <w:rPr>
          <w:sz w:val="20"/>
          <w:szCs w:val="20"/>
          <w:color w:val="auto"/>
        </w:rPr>
      </w:pPr>
    </w:p>
    <w:p>
      <w:pPr>
        <w:jc w:val="both"/>
        <w:ind w:left="4" w:right="20"/>
        <w:spacing w:after="0" w:line="291" w:lineRule="auto"/>
        <w:rPr>
          <w:sz w:val="20"/>
          <w:szCs w:val="20"/>
          <w:color w:val="auto"/>
        </w:rPr>
      </w:pPr>
      <w:r>
        <w:rPr>
          <w:rFonts w:ascii="Arial" w:cs="Arial" w:eastAsia="Arial" w:hAnsi="Arial"/>
          <w:sz w:val="14"/>
          <w:szCs w:val="14"/>
          <w:color w:val="auto"/>
        </w:rPr>
        <w:t>Based on the changes provided by the Flexibility Act the Company plans to take advantage of (i) the extended covered period for loan forgiveness from eight weeks to 24 weeks, (ii) the lowered requirement that a certain percentage of loan proceeds must be used for payroll costs from 75 percent to 60 percent, (iii) the extended deferral period for payments of principal, interest and fees from six months after loan disbursement to 10 months after the SBA remits the borrower’s loan forgiveness amount to the lender and</w:t>
      </w:r>
    </w:p>
    <w:p>
      <w:pPr>
        <w:spacing w:after="0" w:line="1" w:lineRule="exact"/>
        <w:rPr>
          <w:sz w:val="20"/>
          <w:szCs w:val="20"/>
          <w:color w:val="auto"/>
        </w:rPr>
      </w:pPr>
    </w:p>
    <w:p>
      <w:pPr>
        <w:jc w:val="both"/>
        <w:ind w:left="4" w:hanging="4"/>
        <w:spacing w:after="0" w:line="252" w:lineRule="auto"/>
        <w:tabs>
          <w:tab w:leader="none" w:pos="28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take advantage of an safe harbor provisions as applicable. The Company will be required to repay any portion of the outstanding principal that is not forgiven, along with accrued interest, in accordance with the amortization schedule described above. Based on the changes provided by the Flexibility Act the Company expects that substantially all of the PPP loan will be forgiven, however, the Company cannot provide any assurance that the Company will be eligible for loan forgiveness or that any amount of the PPP Loan will ultimately be forgiven by the SBA.</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Letters of Credit</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As of December 31, 2020, the Company has one irrevocable letter of credit supporting certain finance lease agreements. This letter of credit is guaranteed by a money market account which is reported as restricted cash on the balance sheet.</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33" w:right="319" w:bottom="1440" w:gutter="0" w:footer="0" w:header="0"/>
        </w:sectPr>
      </w:pPr>
    </w:p>
    <w:bookmarkStart w:id="143" w:name="page144"/>
    <w:bookmarkEnd w:id="143"/>
    <w:p>
      <w:pPr>
        <w:ind w:left="684" w:hanging="684"/>
        <w:spacing w:after="0"/>
        <w:tabs>
          <w:tab w:leader="none" w:pos="684"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Legal Matters</w:t>
      </w:r>
    </w:p>
    <w:p>
      <w:pPr>
        <w:spacing w:after="0" w:line="198"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December 31, 2020 and 2019, no accruals have been made related to commitments and contingencies.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Lease Agreements</w:t>
      </w:r>
    </w:p>
    <w:p>
      <w:pPr>
        <w:spacing w:after="0" w:line="198"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We have operating and finance leases for office space, laboratory facilities and various laboratory equipment, furniture and office equipment and leasehold improvements. Our leases have remaining lease terms of 1 year to 5 years, some of which include options to extend the leases for up to 5 years, and some which include options to terminate the leases within 1 year.</w:t>
      </w:r>
    </w:p>
    <w:p>
      <w:pPr>
        <w:spacing w:after="0" w:line="162"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Florida</w:t>
      </w:r>
    </w:p>
    <w:p>
      <w:pPr>
        <w:spacing w:after="0" w:line="198" w:lineRule="exact"/>
        <w:rPr>
          <w:sz w:val="20"/>
          <w:szCs w:val="20"/>
          <w:color w:val="auto"/>
        </w:rPr>
      </w:pPr>
    </w:p>
    <w:p>
      <w:pPr>
        <w:jc w:val="both"/>
        <w:ind w:left="144" w:right="20"/>
        <w:spacing w:after="0" w:line="258" w:lineRule="auto"/>
        <w:rPr>
          <w:sz w:val="20"/>
          <w:szCs w:val="20"/>
          <w:color w:val="auto"/>
        </w:rPr>
      </w:pPr>
      <w:r>
        <w:rPr>
          <w:rFonts w:ascii="Arial" w:cs="Arial" w:eastAsia="Arial" w:hAnsi="Arial"/>
          <w:sz w:val="16"/>
          <w:szCs w:val="16"/>
          <w:color w:val="auto"/>
        </w:rPr>
        <w:t>The Company leases office space in Florida, comprised of two contiguous office suites, under non-cancelable operating leases, which expire in August 2025 and February 2026, as to each space respectively, and include the right to extend the term of the leases for two successive five-year terms upon expiration. In February 2020, the Company agreed to sublease office space in Florida, comprised of one of the two contiguous suites, under a non-cancelable operating lease, which expires in February 2026. In October, 2020, the Company agreed to terminate this sublease in exchange for a termination fee.</w:t>
      </w:r>
    </w:p>
    <w:p>
      <w:pPr>
        <w:spacing w:after="0" w:line="165"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Iowa</w:t>
      </w:r>
    </w:p>
    <w:p>
      <w:pPr>
        <w:spacing w:after="0" w:line="198" w:lineRule="exact"/>
        <w:rPr>
          <w:sz w:val="20"/>
          <w:szCs w:val="20"/>
          <w:color w:val="auto"/>
        </w:rPr>
      </w:pPr>
    </w:p>
    <w:p>
      <w:pPr>
        <w:jc w:val="both"/>
        <w:ind w:left="144" w:right="20"/>
        <w:spacing w:after="0" w:line="275" w:lineRule="auto"/>
        <w:rPr>
          <w:sz w:val="20"/>
          <w:szCs w:val="20"/>
          <w:color w:val="auto"/>
        </w:rPr>
      </w:pPr>
      <w:r>
        <w:rPr>
          <w:rFonts w:ascii="Arial" w:cs="Arial" w:eastAsia="Arial" w:hAnsi="Arial"/>
          <w:sz w:val="16"/>
          <w:szCs w:val="16"/>
          <w:color w:val="auto"/>
        </w:rPr>
        <w:t>The Company leases office and laboratory facilities in Iowa under a non-cancelable operating lease. The Company’s lease for its Iowa facilities expires in September 2021 and includes a renewal option that could extend the lease for successive one-year terms upon expiration.</w:t>
      </w:r>
    </w:p>
    <w:p>
      <w:pPr>
        <w:spacing w:after="0" w:line="152"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Virginia</w:t>
      </w:r>
    </w:p>
    <w:p>
      <w:pPr>
        <w:spacing w:after="0" w:line="198"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Company leases office and laboratory facilities in Virginia under a non-cancelable operating lease. The Company’s lease for its Virginia facilities expires in August 2021.</w:t>
      </w:r>
    </w:p>
    <w:p>
      <w:pPr>
        <w:spacing w:after="0" w:line="221"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North Carolina</w:t>
      </w:r>
    </w:p>
    <w:p>
      <w:pPr>
        <w:spacing w:after="0" w:line="198" w:lineRule="exact"/>
        <w:rPr>
          <w:sz w:val="20"/>
          <w:szCs w:val="20"/>
          <w:color w:val="auto"/>
        </w:rPr>
      </w:pPr>
    </w:p>
    <w:p>
      <w:pPr>
        <w:ind w:left="144" w:right="160"/>
        <w:spacing w:after="0" w:line="258" w:lineRule="auto"/>
        <w:rPr>
          <w:sz w:val="20"/>
          <w:szCs w:val="20"/>
          <w:color w:val="auto"/>
        </w:rPr>
      </w:pPr>
      <w:r>
        <w:rPr>
          <w:rFonts w:ascii="Arial" w:cs="Arial" w:eastAsia="Arial" w:hAnsi="Arial"/>
          <w:sz w:val="16"/>
          <w:szCs w:val="16"/>
          <w:color w:val="auto"/>
        </w:rPr>
        <w:t>The Company leased office space in North Carolina under a non-cancelable operating lease. The original expiration date of the Company’s lease was May 2020. During the second quarter of 2017, the Company subleased its office space in North Carolina under a non-cancelable operating lease to a third-party tenant. The sublease term with the third-party runs concurrent with the lease term the Company has with the landlord. In October 2019, the Company terminated the head lease with the landlord and the sublease with the subtenant so that the landlord and subtenant could enter directly into a lease.</w:t>
      </w:r>
    </w:p>
    <w:p>
      <w:pPr>
        <w:spacing w:after="0" w:line="165" w:lineRule="exact"/>
        <w:rPr>
          <w:sz w:val="20"/>
          <w:szCs w:val="20"/>
          <w:color w:val="auto"/>
        </w:rPr>
      </w:pPr>
    </w:p>
    <w:p>
      <w:pPr>
        <w:ind w:left="144" w:right="220"/>
        <w:spacing w:after="0" w:line="275" w:lineRule="auto"/>
        <w:rPr>
          <w:sz w:val="20"/>
          <w:szCs w:val="20"/>
          <w:color w:val="auto"/>
        </w:rPr>
      </w:pPr>
      <w:r>
        <w:rPr>
          <w:rFonts w:ascii="Arial" w:cs="Arial" w:eastAsia="Arial" w:hAnsi="Arial"/>
          <w:sz w:val="16"/>
          <w:szCs w:val="16"/>
          <w:color w:val="auto"/>
        </w:rPr>
        <w:t>In March 2020, the Company leased office space in North Carolina under a non-cancelable operating lease. The Company's lease for its North Carolina facilities expires in March 2022.</w:t>
      </w:r>
    </w:p>
    <w:p>
      <w:pPr>
        <w:spacing w:after="0" w:line="152"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Finance Lease</w:t>
      </w:r>
    </w:p>
    <w:p>
      <w:pPr>
        <w:spacing w:after="0" w:line="198" w:lineRule="exact"/>
        <w:rPr>
          <w:sz w:val="20"/>
          <w:szCs w:val="20"/>
          <w:color w:val="auto"/>
        </w:rPr>
      </w:pPr>
    </w:p>
    <w:p>
      <w:pPr>
        <w:jc w:val="both"/>
        <w:ind w:left="144"/>
        <w:spacing w:after="0" w:line="262" w:lineRule="auto"/>
        <w:rPr>
          <w:sz w:val="20"/>
          <w:szCs w:val="20"/>
          <w:color w:val="auto"/>
        </w:rPr>
      </w:pPr>
      <w:r>
        <w:rPr>
          <w:rFonts w:ascii="Arial" w:cs="Arial" w:eastAsia="Arial" w:hAnsi="Arial"/>
          <w:sz w:val="16"/>
          <w:szCs w:val="16"/>
          <w:color w:val="auto"/>
        </w:rPr>
        <w:t>The Company leases various laboratory equipment, furniture and office equipment and leasehold improvements that are accounted for as finance leases and that require ongoing payments, including interest expense. The finance leases are financed through various financial institutions and are collateralized by the underlying assets. As of December 31, 2020 and 2019, the interest rates for assets under remaining finance leases range from 7.19% to 14.34%.</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The components of lease expense were as follows (in thousands):</w:t>
      </w: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Lease Cost</w:t>
      </w:r>
    </w:p>
    <w:p>
      <w:pPr>
        <w:spacing w:after="0" w:line="2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Finance lease cost: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Amortization of right-of-use assets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Interest on lease liabilities</w:t>
      </w:r>
    </w:p>
    <w:p>
      <w:pPr>
        <w:spacing w:after="0" w:line="1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Total finance lease cost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Operating lease cost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Short-term lease cost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Variable lease cost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Less: sublease income</w:t>
      </w:r>
    </w:p>
    <w:p>
      <w:pPr>
        <w:spacing w:after="0" w:line="4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Total lease costs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rPr>
              <w:t>2019</w:t>
            </w:r>
          </w:p>
        </w:tc>
      </w:tr>
      <w:tr>
        <w:trPr>
          <w:trHeight w:val="362"/>
        </w:trPr>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4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4"/>
        </w:trPr>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71"/>
        </w:trPr>
        <w:tc>
          <w:tcPr>
            <w:tcW w:w="340" w:type="dxa"/>
            <w:vAlign w:val="bottom"/>
          </w:tcPr>
          <w:p>
            <w:pPr>
              <w:spacing w:after="0"/>
              <w:rPr>
                <w:sz w:val="14"/>
                <w:szCs w:val="14"/>
                <w:color w:val="auto"/>
              </w:rPr>
            </w:pPr>
          </w:p>
        </w:tc>
        <w:tc>
          <w:tcPr>
            <w:tcW w:w="1300" w:type="dxa"/>
            <w:vAlign w:val="bottom"/>
          </w:tcPr>
          <w:p>
            <w:pPr>
              <w:jc w:val="right"/>
              <w:ind w:right="20"/>
              <w:spacing w:after="0" w:line="171" w:lineRule="exact"/>
              <w:rPr>
                <w:sz w:val="20"/>
                <w:szCs w:val="20"/>
                <w:color w:val="auto"/>
              </w:rPr>
            </w:pPr>
            <w:r>
              <w:rPr>
                <w:rFonts w:ascii="Arial" w:cs="Arial" w:eastAsia="Arial" w:hAnsi="Arial"/>
                <w:sz w:val="16"/>
                <w:szCs w:val="16"/>
                <w:color w:val="auto"/>
              </w:rPr>
              <w:t>147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spacing w:after="0" w:line="171" w:lineRule="exact"/>
              <w:rPr>
                <w:sz w:val="20"/>
                <w:szCs w:val="20"/>
                <w:color w:val="auto"/>
              </w:rPr>
            </w:pPr>
            <w:r>
              <w:rPr>
                <w:rFonts w:ascii="Arial" w:cs="Arial" w:eastAsia="Arial" w:hAnsi="Arial"/>
                <w:sz w:val="16"/>
                <w:szCs w:val="16"/>
                <w:color w:val="auto"/>
              </w:rPr>
              <w:t>163</w:t>
            </w:r>
          </w:p>
        </w:tc>
      </w:tr>
      <w:tr>
        <w:trPr>
          <w:trHeight w:val="191"/>
        </w:trPr>
        <w:tc>
          <w:tcPr>
            <w:tcW w:w="34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191"/>
        </w:trPr>
        <w:tc>
          <w:tcPr>
            <w:tcW w:w="34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191"/>
        </w:trPr>
        <w:tc>
          <w:tcPr>
            <w:tcW w:w="34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4"/>
        </w:trPr>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183"/>
        </w:trPr>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-1130300</wp:posOffset>
            </wp:positionV>
            <wp:extent cx="5713730" cy="121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3730" cy="12128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-887095</wp:posOffset>
            </wp:positionV>
            <wp:extent cx="571373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3730" cy="12890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-636905</wp:posOffset>
            </wp:positionV>
            <wp:extent cx="5713730" cy="1212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3730" cy="12128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-393700</wp:posOffset>
            </wp:positionV>
            <wp:extent cx="5713730" cy="1212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3730" cy="12128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-143510</wp:posOffset>
            </wp:positionV>
            <wp:extent cx="5713730" cy="144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3730" cy="14414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6080" w:space="720"/>
            <w:col w:w="4460"/>
          </w:cols>
          <w:pgMar w:left="320" w:top="533" w:right="319" w:bottom="1440" w:gutter="0" w:footer="0" w:header="0"/>
        </w:sectPr>
      </w:pPr>
    </w:p>
    <w:p>
      <w:pPr>
        <w:spacing w:after="0"/>
        <w:rPr>
          <w:sz w:val="20"/>
          <w:szCs w:val="20"/>
          <w:color w:val="auto"/>
        </w:rPr>
      </w:pPr>
      <w:r>
        <w:rPr>
          <w:rFonts w:ascii="Arial" w:cs="Arial" w:eastAsia="Arial" w:hAnsi="Arial"/>
          <w:sz w:val="16"/>
          <w:szCs w:val="16"/>
          <w:color w:val="auto"/>
        </w:rPr>
        <w:t>Rent expense for non-cancelable operating leases was $0.6 million and $0.7 million for the years ended December 31, 2020 and 2019,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gridSpan w:val="2"/>
          </w:tcPr>
          <w:p>
            <w:pPr>
              <w:jc w:val="right"/>
              <w:ind w:right="1380"/>
              <w:spacing w:after="0"/>
              <w:rPr>
                <w:sz w:val="20"/>
                <w:szCs w:val="20"/>
                <w:color w:val="auto"/>
              </w:rPr>
            </w:pPr>
            <w:r>
              <w:rPr>
                <w:rFonts w:ascii="Arial" w:cs="Arial" w:eastAsia="Arial" w:hAnsi="Arial"/>
                <w:sz w:val="16"/>
                <w:szCs w:val="16"/>
                <w:color w:val="auto"/>
                <w:w w:val="89"/>
              </w:rPr>
              <w:t>Supplemental cash flow information related to leases was as follows (in thousands):</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12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120" w:type="dxa"/>
            <w:vAlign w:val="bottom"/>
          </w:tcPr>
          <w:p>
            <w:pPr>
              <w:spacing w:after="0"/>
              <w:rPr>
                <w:sz w:val="16"/>
                <w:szCs w:val="16"/>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435</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from short-term leases</w:t>
            </w: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Operating cash flows from variable lease costs</w:t>
            </w:r>
          </w:p>
        </w:tc>
        <w:tc>
          <w:tcPr>
            <w:tcW w:w="1120" w:type="dxa"/>
            <w:vAlign w:val="bottom"/>
          </w:tcPr>
          <w:p>
            <w:pPr>
              <w:spacing w:after="0"/>
              <w:rPr>
                <w:sz w:val="16"/>
                <w:szCs w:val="16"/>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Right-of-use assets obtained in exchange for lease liabilities:</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120" w:type="dxa"/>
            <w:vAlign w:val="bottom"/>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140" w:type="dxa"/>
            <w:vAlign w:val="bottom"/>
          </w:tcPr>
          <w:p>
            <w:pPr>
              <w:spacing w:after="0"/>
              <w:rPr>
                <w:sz w:val="16"/>
                <w:szCs w:val="16"/>
                <w:color w:val="auto"/>
              </w:rPr>
            </w:pPr>
          </w:p>
        </w:tc>
      </w:tr>
      <w:tr>
        <w:trPr>
          <w:trHeight w:val="204"/>
        </w:trPr>
        <w:tc>
          <w:tcPr>
            <w:tcW w:w="1120" w:type="dxa"/>
            <w:vAlign w:val="bottom"/>
          </w:tcPr>
          <w:p>
            <w:pPr>
              <w:spacing w:after="0"/>
              <w:rPr>
                <w:sz w:val="17"/>
                <w:szCs w:val="17"/>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120" w:type="dxa"/>
            <w:vAlign w:val="bottom"/>
          </w:tcPr>
          <w:p>
            <w:pPr>
              <w:spacing w:after="0"/>
              <w:rPr>
                <w:sz w:val="17"/>
                <w:szCs w:val="17"/>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1,852</w:t>
            </w:r>
          </w:p>
        </w:tc>
        <w:tc>
          <w:tcPr>
            <w:tcW w:w="1140" w:type="dxa"/>
            <w:vAlign w:val="bottom"/>
          </w:tcPr>
          <w:p>
            <w:pPr>
              <w:spacing w:after="0"/>
              <w:rPr>
                <w:sz w:val="17"/>
                <w:szCs w:val="17"/>
                <w:color w:val="auto"/>
              </w:rPr>
            </w:pPr>
          </w:p>
        </w:tc>
      </w:tr>
      <w:tr>
        <w:trPr>
          <w:trHeight w:val="370"/>
        </w:trPr>
        <w:tc>
          <w:tcPr>
            <w:tcW w:w="6800" w:type="dxa"/>
            <w:vAlign w:val="bottom"/>
            <w:gridSpan w:val="2"/>
          </w:tcPr>
          <w:p>
            <w:pPr>
              <w:jc w:val="right"/>
              <w:ind w:right="980"/>
              <w:spacing w:after="0"/>
              <w:rPr>
                <w:sz w:val="20"/>
                <w:szCs w:val="20"/>
                <w:color w:val="auto"/>
              </w:rPr>
            </w:pPr>
            <w:r>
              <w:rPr>
                <w:rFonts w:ascii="Arial" w:cs="Arial" w:eastAsia="Arial" w:hAnsi="Arial"/>
                <w:sz w:val="16"/>
                <w:szCs w:val="16"/>
                <w:color w:val="auto"/>
              </w:rPr>
              <w:t>145</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3" w:right="31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4"/>
          <w:szCs w:val="14"/>
          <w:color w:val="auto"/>
        </w:rPr>
        <w:t>Supplemental balance sheet information related to leases was as follows (in thousands, except weighted average remaining lease term and weighted average discount rate):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w w:val="94"/>
              </w:rPr>
              <w:t>December 31,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2019</w:t>
            </w:r>
          </w:p>
        </w:tc>
        <w:tc>
          <w:tcPr>
            <w:tcW w:w="11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Finance Leases</w:t>
            </w:r>
          </w:p>
        </w:tc>
        <w:tc>
          <w:tcPr>
            <w:tcW w:w="1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Property and equipment, at cost</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1,031</w:t>
            </w:r>
          </w:p>
        </w:tc>
        <w:tc>
          <w:tcPr>
            <w:tcW w:w="8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1,013</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11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372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508</w:t>
            </w:r>
          </w:p>
        </w:tc>
        <w:tc>
          <w:tcPr>
            <w:tcW w:w="80" w:type="dxa"/>
            <w:vAlign w:val="bottom"/>
          </w:tcPr>
          <w:p>
            <w:pPr>
              <w:spacing w:after="0"/>
              <w:rPr>
                <w:sz w:val="15"/>
                <w:szCs w:val="15"/>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615</w:t>
            </w:r>
          </w:p>
        </w:tc>
        <w:tc>
          <w:tcPr>
            <w:tcW w:w="11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236</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11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3720" w:type="dxa"/>
            <w:vAlign w:val="bottom"/>
          </w:tcPr>
          <w:p>
            <w:pPr>
              <w:ind w:left="140"/>
              <w:spacing w:after="0"/>
              <w:rPr>
                <w:sz w:val="20"/>
                <w:szCs w:val="20"/>
                <w:color w:val="auto"/>
              </w:rPr>
            </w:pPr>
            <w:r>
              <w:rPr>
                <w:rFonts w:ascii="Arial" w:cs="Arial" w:eastAsia="Arial" w:hAnsi="Arial"/>
                <w:sz w:val="16"/>
                <w:szCs w:val="16"/>
                <w:color w:val="auto"/>
              </w:rPr>
              <w:t>Total finance lease liabilities</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5"/>
                <w:szCs w:val="15"/>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404</w:t>
            </w:r>
          </w:p>
        </w:tc>
        <w:tc>
          <w:tcPr>
            <w:tcW w:w="11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b w:val="1"/>
                <w:bCs w:val="1"/>
                <w:color w:val="auto"/>
              </w:rPr>
              <w:t>Operating Leases</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11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5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1,350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1,537</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3720" w:type="dxa"/>
            <w:vAlign w:val="bottom"/>
          </w:tcPr>
          <w:p>
            <w:pPr>
              <w:ind w:left="140"/>
              <w:spacing w:after="0"/>
              <w:rPr>
                <w:sz w:val="20"/>
                <w:szCs w:val="20"/>
                <w:color w:val="auto"/>
              </w:rPr>
            </w:pPr>
            <w:r>
              <w:rPr>
                <w:rFonts w:ascii="Arial" w:cs="Arial" w:eastAsia="Arial" w:hAnsi="Arial"/>
                <w:sz w:val="16"/>
                <w:szCs w:val="16"/>
                <w:color w:val="auto"/>
              </w:rPr>
              <w:t>Total operating lease right-of-use assets</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5"/>
                <w:szCs w:val="15"/>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1,537</w:t>
            </w:r>
          </w:p>
        </w:tc>
        <w:tc>
          <w:tcPr>
            <w:tcW w:w="11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284</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liabilities, less current portion</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1,587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1,901</w:t>
            </w:r>
          </w:p>
        </w:tc>
        <w:tc>
          <w:tcPr>
            <w:tcW w:w="11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3720" w:type="dxa"/>
            <w:vAlign w:val="bottom"/>
          </w:tcPr>
          <w:p>
            <w:pPr>
              <w:ind w:left="140"/>
              <w:spacing w:after="0"/>
              <w:rPr>
                <w:sz w:val="20"/>
                <w:szCs w:val="20"/>
                <w:color w:val="auto"/>
              </w:rPr>
            </w:pPr>
            <w:r>
              <w:rPr>
                <w:rFonts w:ascii="Arial" w:cs="Arial" w:eastAsia="Arial" w:hAnsi="Arial"/>
                <w:sz w:val="16"/>
                <w:szCs w:val="16"/>
                <w:color w:val="auto"/>
              </w:rPr>
              <w:t>Total operating lease liabilities</w:t>
            </w:r>
          </w:p>
        </w:tc>
        <w:tc>
          <w:tcPr>
            <w:tcW w:w="25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1,914</w:t>
            </w:r>
          </w:p>
        </w:tc>
        <w:tc>
          <w:tcPr>
            <w:tcW w:w="80" w:type="dxa"/>
            <w:vAlign w:val="bottom"/>
          </w:tcPr>
          <w:p>
            <w:pPr>
              <w:spacing w:after="0"/>
              <w:rPr>
                <w:sz w:val="15"/>
                <w:szCs w:val="15"/>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2,185</w:t>
            </w:r>
          </w:p>
        </w:tc>
        <w:tc>
          <w:tcPr>
            <w:tcW w:w="11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b w:val="1"/>
                <w:bCs w:val="1"/>
                <w:color w:val="auto"/>
              </w:rPr>
              <w:t>Weighted Average Remaining Lease Term</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 year</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 years</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5 years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 years</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b w:val="1"/>
                <w:bCs w:val="1"/>
                <w:color w:val="auto"/>
              </w:rPr>
              <w:t>Weighted Average Discount Rate</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140" w:type="dxa"/>
            <w:vAlign w:val="bottom"/>
          </w:tcPr>
          <w:p>
            <w:pPr>
              <w:spacing w:after="0"/>
              <w:rPr>
                <w:sz w:val="16"/>
                <w:szCs w:val="16"/>
                <w:color w:val="auto"/>
              </w:rPr>
            </w:pPr>
          </w:p>
        </w:tc>
      </w:tr>
      <w:tr>
        <w:trPr>
          <w:trHeight w:val="204"/>
        </w:trPr>
        <w:tc>
          <w:tcPr>
            <w:tcW w:w="112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c>
          <w:tcPr>
            <w:tcW w:w="1140" w:type="dxa"/>
            <w:vAlign w:val="bottom"/>
          </w:tcPr>
          <w:p>
            <w:pPr>
              <w:spacing w:after="0"/>
              <w:rPr>
                <w:sz w:val="17"/>
                <w:szCs w:val="17"/>
                <w:color w:val="auto"/>
              </w:rPr>
            </w:pPr>
          </w:p>
        </w:tc>
      </w:tr>
      <w:tr>
        <w:trPr>
          <w:trHeight w:val="370"/>
        </w:trPr>
        <w:tc>
          <w:tcPr>
            <w:tcW w:w="4840" w:type="dxa"/>
            <w:vAlign w:val="bottom"/>
            <w:gridSpan w:val="2"/>
          </w:tcPr>
          <w:p>
            <w:pPr>
              <w:spacing w:after="0"/>
              <w:rPr>
                <w:sz w:val="20"/>
                <w:szCs w:val="20"/>
                <w:color w:val="auto"/>
              </w:rPr>
            </w:pPr>
            <w:r>
              <w:rPr>
                <w:rFonts w:ascii="Arial" w:cs="Arial" w:eastAsia="Arial" w:hAnsi="Arial"/>
                <w:sz w:val="16"/>
                <w:szCs w:val="16"/>
                <w:color w:val="auto"/>
              </w:rPr>
              <w:t>Maturities on lease liabilities were as follows (in thousands):</w:t>
            </w: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6"/>
        </w:trPr>
        <w:tc>
          <w:tcPr>
            <w:tcW w:w="1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6"/>
                <w:szCs w:val="16"/>
                <w:b w:val="1"/>
                <w:bCs w:val="1"/>
                <w:color w:val="auto"/>
                <w:w w:val="92"/>
              </w:rPr>
              <w:t>Finance</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Operating</w:t>
            </w:r>
          </w:p>
        </w:tc>
        <w:tc>
          <w:tcPr>
            <w:tcW w:w="1140" w:type="dxa"/>
            <w:vAlign w:val="bottom"/>
          </w:tcPr>
          <w:p>
            <w:pPr>
              <w:spacing w:after="0"/>
              <w:rPr>
                <w:sz w:val="24"/>
                <w:szCs w:val="24"/>
                <w:color w:val="auto"/>
              </w:rPr>
            </w:pPr>
          </w:p>
        </w:tc>
      </w:tr>
      <w:tr>
        <w:trPr>
          <w:trHeight w:val="208"/>
        </w:trPr>
        <w:tc>
          <w:tcPr>
            <w:tcW w:w="112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1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w w:val="92"/>
              </w:rPr>
              <w:t>Leases</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Leases</w:t>
            </w: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28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2"/>
              </w:rPr>
              <w:t>181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2022</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23"/>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2024</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484</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Thereafter</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1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payments</w:t>
            </w:r>
          </w:p>
        </w:tc>
        <w:tc>
          <w:tcPr>
            <w:tcW w:w="1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2"/>
              </w:rPr>
              <w:t>205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Less: future interest expense</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140" w:type="dxa"/>
            <w:vAlign w:val="bottom"/>
          </w:tcPr>
          <w:p>
            <w:pPr>
              <w:spacing w:after="0"/>
              <w:rPr>
                <w:sz w:val="16"/>
                <w:szCs w:val="16"/>
                <w:color w:val="auto"/>
              </w:rPr>
            </w:pPr>
          </w:p>
        </w:tc>
      </w:tr>
      <w:tr>
        <w:trPr>
          <w:trHeight w:val="223"/>
        </w:trPr>
        <w:tc>
          <w:tcPr>
            <w:tcW w:w="1120" w:type="dxa"/>
            <w:vAlign w:val="bottom"/>
          </w:tcPr>
          <w:p>
            <w:pPr>
              <w:spacing w:after="0"/>
              <w:rPr>
                <w:sz w:val="19"/>
                <w:szCs w:val="19"/>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w:t>
            </w:r>
          </w:p>
        </w:tc>
        <w:tc>
          <w:tcPr>
            <w:tcW w:w="28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2"/>
              </w:rPr>
              <w:t>194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140" w:type="dxa"/>
            <w:vAlign w:val="bottom"/>
          </w:tcPr>
          <w:p>
            <w:pPr>
              <w:spacing w:after="0"/>
              <w:rPr>
                <w:sz w:val="19"/>
                <w:szCs w:val="19"/>
                <w:color w:val="auto"/>
              </w:rPr>
            </w:pPr>
          </w:p>
        </w:tc>
      </w:tr>
      <w:tr>
        <w:trPr>
          <w:trHeight w:val="358"/>
        </w:trPr>
        <w:tc>
          <w:tcPr>
            <w:tcW w:w="11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jc w:val="right"/>
              <w:ind w:right="900"/>
              <w:spacing w:after="0"/>
              <w:rPr>
                <w:sz w:val="20"/>
                <w:szCs w:val="20"/>
                <w:color w:val="auto"/>
              </w:rPr>
            </w:pPr>
            <w:r>
              <w:rPr>
                <w:rFonts w:ascii="Arial" w:cs="Arial" w:eastAsia="Arial" w:hAnsi="Arial"/>
                <w:sz w:val="16"/>
                <w:szCs w:val="16"/>
                <w:color w:val="auto"/>
              </w:rPr>
              <w:t>146</w:t>
            </w:r>
          </w:p>
        </w:tc>
        <w:tc>
          <w:tcPr>
            <w:tcW w:w="7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3" w:right="319" w:bottom="1440" w:gutter="0" w:footer="0" w:header="0"/>
        </w:sectPr>
      </w:pPr>
    </w:p>
    <w:bookmarkStart w:id="146" w:name="page147"/>
    <w:bookmarkEnd w:id="146"/>
    <w:p>
      <w:pPr>
        <w:ind w:left="684" w:hanging="684"/>
        <w:spacing w:after="0"/>
        <w:tabs>
          <w:tab w:leader="none" w:pos="684"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Supply Arrangement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5"/>
          <w:szCs w:val="15"/>
          <w:color w:val="auto"/>
        </w:rPr>
        <w:t>As of December 31, 2020 and 2019, the Company has one manufacturing arrangement that involves potential future expenditures related to research and development.</w:t>
      </w:r>
    </w:p>
    <w:p>
      <w:pPr>
        <w:spacing w:after="0" w:line="210" w:lineRule="exact"/>
        <w:rPr>
          <w:sz w:val="20"/>
          <w:szCs w:val="20"/>
          <w:color w:val="auto"/>
        </w:rPr>
      </w:pPr>
    </w:p>
    <w:p>
      <w:pPr>
        <w:jc w:val="both"/>
        <w:ind w:left="4"/>
        <w:spacing w:after="0" w:line="271" w:lineRule="auto"/>
        <w:rPr>
          <w:sz w:val="20"/>
          <w:szCs w:val="20"/>
          <w:color w:val="auto"/>
        </w:rPr>
      </w:pPr>
      <w:r>
        <w:rPr>
          <w:rFonts w:ascii="Arial" w:cs="Arial" w:eastAsia="Arial" w:hAnsi="Arial"/>
          <w:sz w:val="15"/>
          <w:szCs w:val="15"/>
          <w:color w:val="auto"/>
        </w:rPr>
        <w:t>In November 2009, the Company entered into a supply agreement (the “Supply Agreement”) with Johnson Matthey Inc. (“JMI”) whereby JMI has agreed to supply the Company with all of the benzhydrocodone necessary for clinical trials and commercial sale for a price equal to JMI’s manufacturing cost and to provide process optimization and development services for benzhydrocodone. The Company’s FDA-approved drug, APADAZ, contains benzhydrocodone. Expense of $3.2 million was recorded under this agreement for the year ended December 31, 2019. The expense under this agreement for the year ended December 31, 2020 was negligible. The Company must purchase all of its U.S. benzhydrocodone needs from JMI and JMI cannot supply benzhydrocodone to other companies. The term of the Supply Agreement extends as long as the Company holds a valid and enforceable patent for benzhydrocodone or until the tenth anniversary of a commercial launch of a FDA-approved drug incorporating benzhydrocodone, whichever date is later. Upon the expiration of such term, the agreement will automatically renew for a period of two years unless either party provides 12 months prior notice of its intent not to renew. Under the agreement, JMI will receive a tiered-based royalty share on the net sales on the commercial sale of a FDA-approved drug incorporating benzhydrocodone. No reliable estimate of the future payments can be made at this time.</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47" w:name="page148"/>
    <w:bookmarkEnd w:id="147"/>
    <w:p>
      <w:pPr>
        <w:ind w:left="684" w:hanging="684"/>
        <w:spacing w:after="0"/>
        <w:tabs>
          <w:tab w:leader="none" w:pos="684"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Preferred Stock and Warrants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Authorized, Issued, and Outstanding Preferred Stock</w:t>
      </w:r>
    </w:p>
    <w:p>
      <w:pPr>
        <w:spacing w:after="0" w:line="198" w:lineRule="exact"/>
        <w:rPr>
          <w:sz w:val="20"/>
          <w:szCs w:val="20"/>
          <w:color w:val="auto"/>
        </w:rPr>
      </w:pPr>
    </w:p>
    <w:p>
      <w:pPr>
        <w:jc w:val="both"/>
        <w:ind w:left="4"/>
        <w:spacing w:after="0" w:line="306" w:lineRule="auto"/>
        <w:rPr>
          <w:sz w:val="20"/>
          <w:szCs w:val="20"/>
          <w:color w:val="auto"/>
        </w:rPr>
      </w:pPr>
      <w:r>
        <w:rPr>
          <w:rFonts w:ascii="Arial" w:cs="Arial" w:eastAsia="Arial" w:hAnsi="Arial"/>
          <w:sz w:val="14"/>
          <w:szCs w:val="14"/>
          <w:color w:val="auto"/>
        </w:rPr>
        <w:t>As of December 31, 2020 and 2019, the Company had 10,000,000 shares of authorized preferred stock, of which 9,578 shares were designated as Series A Preferred Stock, 1,576 shares were designated as Series B-1 Preferred Stock and 27,000 shares were designated as Series B-2 Preferred Stock. Of the designated preferred stock 9,577 shares of Series A Preferred Stock and 1,576 shares of Series B-1 Preferred Stock were issued as of December 31, 2020 and 2019. No shares of Series A Preferred Stock or Series B-1 Preferred Stock were outstanding as of December 31, 2020 and 2019. No shares of Series B-2 Preferred Stock were issued or outstanding as of December 31, 2020 and 2019.</w:t>
      </w:r>
    </w:p>
    <w:p>
      <w:pPr>
        <w:spacing w:after="0" w:line="135"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In October 2018, the Company entered into the October 2018 Exchange Agreement. Under the October 2018 Exchange Agreement the Company issued to the Holders 9,577 shares of Series A Preferred Stock. Each share of Series A Preferred Stock has an aggregate stated value of $1,000 and is convertible into shares of common stock at a price equal to $3.00 per share (subject to adjustment to reflect stock splits and similar events). Immediately following the exchange under the October 2018 Exchange Agreement, there were an aggregate of 3,192,333 shares of common stock issuable upon conversion of the Series A Preferred Stock (without giving effect to the limitation on conversion described below), and as of December 31, 2020 all issued shares of Series A Preferred Stock had been converted into shares of common stock. After giving effect to the Reverse Stock Split effected in December 2020, the conversion price of the Series A Preferred Stock would be $48.00 and the shares of common stock issuable upon conversion of the Series A Preferred stock would be 199,519 shares of common stock.</w:t>
      </w:r>
    </w:p>
    <w:p>
      <w:pPr>
        <w:spacing w:after="0" w:line="156" w:lineRule="exact"/>
        <w:rPr>
          <w:sz w:val="20"/>
          <w:szCs w:val="20"/>
          <w:color w:val="auto"/>
        </w:rPr>
      </w:pPr>
    </w:p>
    <w:p>
      <w:pPr>
        <w:jc w:val="both"/>
        <w:ind w:left="4"/>
        <w:spacing w:after="0" w:line="288" w:lineRule="auto"/>
        <w:rPr>
          <w:sz w:val="20"/>
          <w:szCs w:val="20"/>
          <w:color w:val="auto"/>
        </w:rPr>
      </w:pPr>
      <w:r>
        <w:rPr>
          <w:rFonts w:ascii="Arial" w:cs="Arial" w:eastAsia="Arial" w:hAnsi="Arial"/>
          <w:sz w:val="14"/>
          <w:szCs w:val="14"/>
          <w:color w:val="auto"/>
        </w:rPr>
        <w:t>In September 2019, the Company entered into the September 2019 Exchange Agreement. Under the September 2019 Exchange Agreement the Company issued to the Holders 1,576 shares of Series B-1 Preferred Stock. Each share of Series B-1 Preferred Stock had an aggregate stated value of $1,000 and was convertible into shares of common stock at a price equal to the greater of (i) $0.9494, or (ii) the average of the volume-weighted average price of the Common Stock on the principal securities exchange or trading market on which the common stock is then trading on each of the 15 trading days immediately preceding such exchange (subject to adjustment to reflect stock splits and similar events). Immediately following the exchange under the September 2019 Exchange Agreement, there were an aggregate of 1,659,996 shares of common stock issuable upon conversion of the Series B-1 Preferred Stock (without giving effect to the limitation on conversion described below). After giving effect to the Reverse Stock Split effected in December 2020, the conversion price of the Series B-1 Preferred Stock would be $15.1904 or the average of the volume-weighted average price of the common stock on the principal securities exchange or trading market on which the common stock is then trading on each of the 15 trading days immediately preceding such exchange and the shares of common stock issuable upon conversion of the Series B-1 Preferred Stock would be 103,749 shares of common stock. The Series B Preferred Stock is convertible at any time at the option of the Holders; provided that the Holders are prohibited from converting shares of Series B Preferred Stock into shares of common stock if, as a result of such conversion, such Holders (together with certain affiliates and “group” members of such Holders) would beneficially own more than 4.985% of the total number of shares of common stock then issued and outstanding. The Series B Preferred Stock is not redeemable. In the event of the Company’s liquidation, dissolution or winding up, the Holders will receive an amount equal to $0.0001 per share, plus any declared but unpaid dividends, and thereafter will share ratably in any distribution of the Company’s assets with holders of common stock and with the holders of any shares of any other class or series of capital stock of the Company entitled to share in such remaining assets of the Company (including Series A Preferred Stock on an as-converted basis. With respect to rights upon liquidation, the Series B Preferred Stock ranks senior to the common stock, on parity with the Series A Preferred Stock, if any is then outstanding, and junior to existing and future indebtedness. Except as otherwise required by law (or with respect to approval of certain actions involving the Company’s organizational documents that materially and adversely affect the holders of Series B Preferred Stock), the Series B Preferred Stock does not have voting rights. The Series B Preferred Stock is not subject to any price-based anti-dilution protections and does not provide for any accruing dividends, but provides that holders of Series B Preferred Stock will participate in any dividends on the common stock on an as-converted basis (without giving effect to the limitation on conversion described above). The Series B-1 Certificate of Designation and the Series B-2 Certificate of Designation also provide for partial liquidated damages in the event that the Company fails to timely convert shares of Series B-1 Preferred Stock or Series B-2 Preferred Stock, respectively, into Common Stock in accordance with the applicable Certificate of Designation. As of December 31, 2020 all issued shares of Series B-1 Preferred Stock have been converted into shares of common stock.</w:t>
      </w:r>
    </w:p>
    <w:p>
      <w:pPr>
        <w:spacing w:after="0" w:line="147" w:lineRule="exact"/>
        <w:rPr>
          <w:sz w:val="20"/>
          <w:szCs w:val="20"/>
          <w:color w:val="auto"/>
        </w:rPr>
      </w:pPr>
    </w:p>
    <w:p>
      <w:pPr>
        <w:jc w:val="both"/>
        <w:ind w:left="4" w:right="20"/>
        <w:spacing w:after="0" w:line="309" w:lineRule="auto"/>
        <w:rPr>
          <w:sz w:val="20"/>
          <w:szCs w:val="20"/>
          <w:color w:val="auto"/>
        </w:rPr>
      </w:pPr>
      <w:r>
        <w:rPr>
          <w:rFonts w:ascii="Arial" w:cs="Arial" w:eastAsia="Arial" w:hAnsi="Arial"/>
          <w:sz w:val="15"/>
          <w:szCs w:val="15"/>
          <w:color w:val="auto"/>
        </w:rPr>
        <w:t>As a condition to closing of the December 2020 Exchange Agreement, the Company has agreed to file the Restated Series B-2 Certificate of Designation with the Secretary of State of the State Delaware, setting forth the preferences, rights and limitations of the Series B-2 Preferred Stock. Refer to Note G for further discussion.</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48" w:name="page149"/>
    <w:bookmarkEnd w:id="148"/>
    <w:p>
      <w:pPr>
        <w:ind w:left="684" w:hanging="684"/>
        <w:spacing w:after="0"/>
        <w:tabs>
          <w:tab w:leader="none" w:pos="684"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 and Warrants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Authorized, Issued, and Outstanding Common Shares</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As of December 31, 2020 and 2019, the Company had authorized shares of common stock of 250,000,000 shares. Of the authorized shares, 4,537,321 and 2,271,882 shares of common stock were issued and outstanding as of December 31, 2020 and 2019, respectively.</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December 31, 2020 and 2019, the Company had reserved authorized shares of common stock for future issuance as follows:</w:t>
      </w:r>
    </w:p>
    <w:p>
      <w:pPr>
        <w:spacing w:after="0" w:line="194" w:lineRule="exact"/>
        <w:rPr>
          <w:sz w:val="20"/>
          <w:szCs w:val="20"/>
          <w:color w:val="auto"/>
        </w:rPr>
      </w:pPr>
    </w:p>
    <w:tbl>
      <w:tblPr>
        <w:tblLayout w:type="fixed"/>
        <w:tblInd w:w="1124"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18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8"/>
                <w:szCs w:val="18"/>
                <w:color w:val="auto"/>
              </w:rPr>
            </w:pPr>
          </w:p>
        </w:tc>
      </w:tr>
      <w:tr>
        <w:trPr>
          <w:trHeight w:val="183"/>
        </w:trPr>
        <w:tc>
          <w:tcPr>
            <w:tcW w:w="6400" w:type="dxa"/>
            <w:vAlign w:val="bottom"/>
          </w:tcPr>
          <w:p>
            <w:pPr>
              <w:spacing w:after="0"/>
              <w:rPr>
                <w:sz w:val="15"/>
                <w:szCs w:val="15"/>
                <w:color w:val="auto"/>
              </w:rPr>
            </w:pPr>
          </w:p>
        </w:tc>
        <w:tc>
          <w:tcPr>
            <w:tcW w:w="12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w w:val="89"/>
              </w:rPr>
              <w:t>2019</w:t>
            </w: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Conversion of Deerfield Convertible Note</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81,101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75,850</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Conversion of 2021 Notes</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10,958</w:t>
            </w:r>
          </w:p>
        </w:tc>
      </w:tr>
      <w:tr>
        <w:trPr>
          <w:trHeight w:val="191"/>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Conversion of January 2020 Note</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34,615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Conversion of 2019 Notes not subject to the Deerfield Optional Conversion Feature</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625,747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199,172</w:t>
            </w:r>
          </w:p>
        </w:tc>
      </w:tr>
      <w:tr>
        <w:trPr>
          <w:trHeight w:val="191"/>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Outstanding awards under equity incentive plans</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355,785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324,473</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Outstanding common stock warrants</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151,442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151,442</w:t>
            </w:r>
          </w:p>
        </w:tc>
      </w:tr>
      <w:tr>
        <w:trPr>
          <w:trHeight w:val="191"/>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In exchange for the Deerfield Optional Conversion Feature*</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1,652,437</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Possible future issuances under the equity line of credit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597,065</w:t>
            </w:r>
          </w:p>
        </w:tc>
      </w:tr>
      <w:tr>
        <w:trPr>
          <w:trHeight w:val="191"/>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Possible future issuances under equity incentive plans</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47,825</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5,325</w:t>
            </w:r>
          </w:p>
        </w:tc>
      </w:tr>
      <w:tr>
        <w:trPr>
          <w:trHeight w:val="183"/>
        </w:trPr>
        <w:tc>
          <w:tcPr>
            <w:tcW w:w="6400" w:type="dxa"/>
            <w:vAlign w:val="bottom"/>
          </w:tcPr>
          <w:p>
            <w:pPr>
              <w:spacing w:after="0"/>
              <w:rPr>
                <w:sz w:val="20"/>
                <w:szCs w:val="20"/>
                <w:color w:val="auto"/>
              </w:rPr>
            </w:pPr>
            <w:r>
              <w:rPr>
                <w:rFonts w:ascii="Arial" w:cs="Arial" w:eastAsia="Arial" w:hAnsi="Arial"/>
                <w:sz w:val="16"/>
                <w:szCs w:val="16"/>
                <w:color w:val="auto"/>
              </w:rPr>
              <w:t>Total common shares reserved for future issuance</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1,296,515</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3,016,722</w:t>
            </w:r>
          </w:p>
        </w:tc>
      </w:tr>
      <w:tr>
        <w:trPr>
          <w:trHeight w:val="20"/>
        </w:trPr>
        <w:tc>
          <w:tcPr>
            <w:tcW w:w="6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324" w:right="1180" w:hanging="199"/>
        <w:spacing w:after="0" w:line="275" w:lineRule="auto"/>
        <w:tabs>
          <w:tab w:leader="none" w:pos="1324"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Common Stock issuable (i) in exchange of the Deerfield Optional Conversion Feature, or (ii) upon conversion of the Series B-2 Preferred Stock issuable in exchange of the Deerfield Optional Conversion Feature</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88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Common Stock Activity</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8880" w:type="dxa"/>
            <w:vAlign w:val="bottom"/>
            <w:gridSpan w:val="2"/>
          </w:tcPr>
          <w:p>
            <w:pPr>
              <w:spacing w:after="0"/>
              <w:rPr>
                <w:sz w:val="20"/>
                <w:szCs w:val="20"/>
                <w:color w:val="auto"/>
              </w:rPr>
            </w:pPr>
            <w:r>
              <w:rPr>
                <w:rFonts w:ascii="Arial" w:cs="Arial" w:eastAsia="Arial" w:hAnsi="Arial"/>
                <w:sz w:val="16"/>
                <w:szCs w:val="16"/>
                <w:color w:val="auto"/>
              </w:rPr>
              <w:t>The following table summarizes common stock activity for the years ended December 31, 2020 and 2019:</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40" w:type="dxa"/>
            <w:vAlign w:val="bottom"/>
          </w:tcPr>
          <w:p>
            <w:pPr>
              <w:jc w:val="right"/>
              <w:ind w:right="220"/>
              <w:spacing w:after="0"/>
              <w:rPr>
                <w:sz w:val="20"/>
                <w:szCs w:val="20"/>
                <w:color w:val="auto"/>
              </w:rPr>
            </w:pPr>
            <w:r>
              <w:rPr>
                <w:rFonts w:ascii="Arial" w:cs="Arial" w:eastAsia="Arial" w:hAnsi="Arial"/>
                <w:sz w:val="16"/>
                <w:szCs w:val="16"/>
                <w:b w:val="1"/>
                <w:bCs w:val="1"/>
                <w:color w:val="auto"/>
              </w:rPr>
              <w:t>Shares of</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5"/>
              </w:rPr>
              <w:t>Common Stock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 2019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1,653,425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7760" w:type="dxa"/>
            <w:vAlign w:val="bottom"/>
          </w:tcPr>
          <w:p>
            <w:pPr>
              <w:ind w:left="140"/>
              <w:spacing w:after="0"/>
              <w:rPr>
                <w:sz w:val="20"/>
                <w:szCs w:val="20"/>
                <w:color w:val="auto"/>
              </w:rPr>
            </w:pPr>
            <w:r>
              <w:rPr>
                <w:rFonts w:ascii="Arial" w:cs="Arial" w:eastAsia="Arial" w:hAnsi="Arial"/>
                <w:sz w:val="16"/>
                <w:szCs w:val="16"/>
                <w:color w:val="auto"/>
              </w:rPr>
              <w:t>Common stock issued under equity line of credit</w:t>
            </w:r>
          </w:p>
        </w:tc>
        <w:tc>
          <w:tcPr>
            <w:tcW w:w="1240" w:type="dxa"/>
            <w:vAlign w:val="bottom"/>
          </w:tcPr>
          <w:p>
            <w:pPr>
              <w:jc w:val="right"/>
              <w:spacing w:after="0"/>
              <w:rPr>
                <w:sz w:val="20"/>
                <w:szCs w:val="20"/>
                <w:color w:val="auto"/>
              </w:rPr>
            </w:pPr>
            <w:r>
              <w:rPr>
                <w:rFonts w:ascii="Arial" w:cs="Arial" w:eastAsia="Arial" w:hAnsi="Arial"/>
                <w:sz w:val="16"/>
                <w:szCs w:val="16"/>
                <w:color w:val="auto"/>
              </w:rPr>
              <w:t>220,091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vested during the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tcPr>
          <w:p>
            <w:pPr>
              <w:ind w:left="140"/>
              <w:spacing w:after="0"/>
              <w:rPr>
                <w:sz w:val="20"/>
                <w:szCs w:val="20"/>
                <w:color w:val="auto"/>
              </w:rPr>
            </w:pPr>
            <w:r>
              <w:rPr>
                <w:rFonts w:ascii="Arial" w:cs="Arial" w:eastAsia="Arial" w:hAnsi="Arial"/>
                <w:sz w:val="16"/>
                <w:szCs w:val="16"/>
                <w:color w:val="auto"/>
              </w:rPr>
              <w:t>Common stock issued as a result of 2021 Notes principal conversion</w:t>
            </w:r>
          </w:p>
        </w:tc>
        <w:tc>
          <w:tcPr>
            <w:tcW w:w="1240" w:type="dxa"/>
            <w:vAlign w:val="bottom"/>
          </w:tcPr>
          <w:p>
            <w:pPr>
              <w:jc w:val="right"/>
              <w:spacing w:after="0"/>
              <w:rPr>
                <w:sz w:val="20"/>
                <w:szCs w:val="20"/>
                <w:color w:val="auto"/>
              </w:rPr>
            </w:pPr>
            <w:r>
              <w:rPr>
                <w:rFonts w:ascii="Arial" w:cs="Arial" w:eastAsia="Arial" w:hAnsi="Arial"/>
                <w:sz w:val="16"/>
                <w:szCs w:val="16"/>
                <w:color w:val="auto"/>
              </w:rPr>
              <w:t>93,742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as a result of Series B-1 Preferred Stock conversion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103,749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tcPr>
          <w:p>
            <w:pPr>
              <w:ind w:left="140"/>
              <w:spacing w:after="0"/>
              <w:rPr>
                <w:sz w:val="20"/>
                <w:szCs w:val="20"/>
                <w:color w:val="auto"/>
              </w:rPr>
            </w:pPr>
            <w:r>
              <w:rPr>
                <w:rFonts w:ascii="Arial" w:cs="Arial" w:eastAsia="Arial" w:hAnsi="Arial"/>
                <w:sz w:val="16"/>
                <w:szCs w:val="16"/>
                <w:color w:val="auto"/>
              </w:rPr>
              <w:t>Common stock issued as a result of Series A Preferred Stock conversion</w:t>
            </w:r>
          </w:p>
        </w:tc>
        <w:tc>
          <w:tcPr>
            <w:tcW w:w="1240" w:type="dxa"/>
            <w:vAlign w:val="bottom"/>
          </w:tcPr>
          <w:p>
            <w:pPr>
              <w:jc w:val="right"/>
              <w:spacing w:after="0"/>
              <w:rPr>
                <w:sz w:val="20"/>
                <w:szCs w:val="20"/>
                <w:color w:val="auto"/>
              </w:rPr>
            </w:pPr>
            <w:r>
              <w:rPr>
                <w:rFonts w:ascii="Arial" w:cs="Arial" w:eastAsia="Arial" w:hAnsi="Arial"/>
                <w:sz w:val="16"/>
                <w:szCs w:val="16"/>
                <w:color w:val="auto"/>
              </w:rPr>
              <w:t>69,521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Common stock issued as a result of Deerfield Optional Conversion Feature conversion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Balance as of December 31, 2019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2,271,882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under equity line of credit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579,260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tcPr>
          <w:p>
            <w:pPr>
              <w:ind w:left="140"/>
              <w:spacing w:after="0"/>
              <w:rPr>
                <w:sz w:val="20"/>
                <w:szCs w:val="20"/>
                <w:color w:val="auto"/>
              </w:rPr>
            </w:pPr>
            <w:r>
              <w:rPr>
                <w:rFonts w:ascii="Arial" w:cs="Arial" w:eastAsia="Arial" w:hAnsi="Arial"/>
                <w:sz w:val="16"/>
                <w:szCs w:val="16"/>
                <w:color w:val="auto"/>
              </w:rPr>
              <w:t>Restricted stock vested during the period</w:t>
            </w:r>
          </w:p>
        </w:tc>
        <w:tc>
          <w:tcPr>
            <w:tcW w:w="1240" w:type="dxa"/>
            <w:vAlign w:val="bottom"/>
          </w:tcPr>
          <w:p>
            <w:pPr>
              <w:jc w:val="right"/>
              <w:spacing w:after="0"/>
              <w:rPr>
                <w:sz w:val="20"/>
                <w:szCs w:val="20"/>
                <w:color w:val="auto"/>
              </w:rPr>
            </w:pPr>
            <w:r>
              <w:rPr>
                <w:rFonts w:ascii="Arial" w:cs="Arial" w:eastAsia="Arial" w:hAnsi="Arial"/>
                <w:sz w:val="16"/>
                <w:szCs w:val="16"/>
                <w:color w:val="auto"/>
              </w:rPr>
              <w:t>10,247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as compensation to third-parties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760" w:type="dxa"/>
            <w:vAlign w:val="bottom"/>
          </w:tcPr>
          <w:p>
            <w:pPr>
              <w:ind w:left="140"/>
              <w:spacing w:after="0"/>
              <w:rPr>
                <w:sz w:val="20"/>
                <w:szCs w:val="20"/>
                <w:color w:val="auto"/>
              </w:rPr>
            </w:pPr>
            <w:r>
              <w:rPr>
                <w:rFonts w:ascii="Arial" w:cs="Arial" w:eastAsia="Arial" w:hAnsi="Arial"/>
                <w:sz w:val="16"/>
                <w:szCs w:val="16"/>
                <w:color w:val="auto"/>
              </w:rPr>
              <w:t>Common stock issued as a result of Deerfield Optional Conversion Feature conversion</w:t>
            </w:r>
          </w:p>
        </w:tc>
        <w:tc>
          <w:tcPr>
            <w:tcW w:w="1240" w:type="dxa"/>
            <w:vAlign w:val="bottom"/>
          </w:tcPr>
          <w:p>
            <w:pPr>
              <w:jc w:val="right"/>
              <w:spacing w:after="0"/>
              <w:rPr>
                <w:sz w:val="20"/>
                <w:szCs w:val="20"/>
                <w:color w:val="auto"/>
              </w:rPr>
            </w:pPr>
            <w:r>
              <w:rPr>
                <w:rFonts w:ascii="Arial" w:cs="Arial" w:eastAsia="Arial" w:hAnsi="Arial"/>
                <w:sz w:val="16"/>
                <w:szCs w:val="16"/>
                <w:color w:val="auto"/>
              </w:rPr>
              <w:t>1,652,437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Common stock issued as a result of stock option exercise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Balance as of December 31,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4,537,321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jc w:val="right"/>
              <w:ind w:right="3060"/>
              <w:spacing w:after="0"/>
              <w:rPr>
                <w:sz w:val="20"/>
                <w:szCs w:val="20"/>
                <w:color w:val="auto"/>
              </w:rPr>
            </w:pPr>
            <w:r>
              <w:rPr>
                <w:rFonts w:ascii="Arial" w:cs="Arial" w:eastAsia="Arial" w:hAnsi="Arial"/>
                <w:sz w:val="16"/>
                <w:szCs w:val="16"/>
                <w:color w:val="auto"/>
              </w:rPr>
              <w:t>149</w:t>
            </w: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77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44" w:right="31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On June 2, 2014, pursuant to the terms of the Deerfield Facility Agreement, the Company issued the Deerfield Warrant to purchase 14,423,076 shares of Series D Preferred (Note J).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Warrant Inducement transaction on January 26, 2021 (refer to Note R) the anti-dilution provisions within this Warrant were triggered and the exercise price was reduced from $93.60 per share to $46.25 per share. The Company is amortizing the debt discount over the term of the Deerfield Convertible Note and the expense is recorded as interest expense related to amortization of debt issuance costs and discount in the statements of operations.</w:t>
      </w:r>
    </w:p>
    <w:p>
      <w:pPr>
        <w:spacing w:after="0" w:line="14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M).</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connection with a Collaboration and License Agreement (the “APADAZ License Agreement”) with KVK Tech, Inc. (“KVK”),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statements of operations. Changes in the number of shares that are expected to be issued are treated as changes in variable consideration under ASC 606 and are recorded as a change in contract asset in the balance sheets. As of December 31, 2020 and 2019, a contract asset of $0.4 million is recorded in other long-term assets on the balance sheets related to the KVK Warrant.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50" w:name="page151"/>
    <w:bookmarkEnd w:id="150"/>
    <w:p>
      <w:pPr>
        <w:ind w:left="684" w:hanging="684"/>
        <w:spacing w:after="0"/>
        <w:tabs>
          <w:tab w:leader="none" w:pos="684"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20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The Company maintains a stock-based compensation plan (the “Incentive Stock Plan”) that governs stock awards made to employees and directors prior to completion of the IPO.</w:t>
      </w:r>
    </w:p>
    <w:p>
      <w:pPr>
        <w:spacing w:after="0" w:line="152"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The maximum number of shares of common stock that may be issued under the 2014 Plan is 408,167 as of December 31, 2020. The number of shares of common stock reserved for issuance under the 2014 Plan will automatically increase on January 1 of each year, beginning on January 1, 2016, and ending on and including January 1, 2024, by 4% of the total number of shares of the Company’s capital stock outstanding on December 31 of the preceding calendar year, or a lesser number of shares determined by the Board. Pursuant to the terms of the 2014 Plan, on January 1, 2021, the common stock reserved for issuance under the 2014 Plan automatically increased by 181,492 shares.</w:t>
      </w:r>
    </w:p>
    <w:p>
      <w:pPr>
        <w:spacing w:after="0" w:line="17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During 2020, the Company granted to certain consultants fully vested restricted stock awards (“RSAs”) under the 2014 Plan. The RSAs were granted as compensation in accordance with each consultants consulting agreement for services performed during 2020. For the year ended December 31, 2020, RSAs were granted for a total of 10,247 shares of common stock.</w:t>
      </w:r>
    </w:p>
    <w:p>
      <w:pPr>
        <w:spacing w:after="0" w:line="162"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During 2019, the Company granted to each non-employee member of the Company’s board of directors (each a “non-employee Director”) two separate fully vested RSAs under the 2014 Plan. The RSAs were granted in lieu of the quarterly cash compensation payable under the Company’s Third Amended and Restated Non-Employee Director Compensation Policy to each non-employee Director for service as a member of the Company’s board of directors, and applicable committees thereof, for the first and second quarters of 2019. For the year ended December 31, 2019, RSAs were granted for a total of 5,104 shares of common stock. In addition, the Company granted to a consultant fully vested RSAs under the 2014 Plan. The RSAs were granted as compensation in accordance with the consultant's consulting agreement for services performed during 2019.</w:t>
      </w:r>
    </w:p>
    <w:p>
      <w:pPr>
        <w:spacing w:after="0" w:line="170"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During the year ended December 31, 2020, stock options to acquire 279 shares of common stock were exercised for approximately $2,000 with an intrinsic value of approximately $1,000. During the year ended December 31, 2019 no stock options were exercised.</w:t>
      </w:r>
    </w:p>
    <w:p>
      <w:pPr>
        <w:spacing w:after="0" w:line="15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Stock-based compensation expense recorded under the Incentive Stock Plan and the 2014 Plan is included in the following line items in the accompanying statements of operations (in thousands):</w:t>
      </w:r>
    </w:p>
    <w:p>
      <w:pPr>
        <w:spacing w:after="0" w:line="148" w:lineRule="exact"/>
        <w:rPr>
          <w:sz w:val="20"/>
          <w:szCs w:val="20"/>
          <w:color w:val="auto"/>
        </w:rPr>
      </w:pPr>
    </w:p>
    <w:tbl>
      <w:tblPr>
        <w:tblLayout w:type="fixed"/>
        <w:tblInd w:w="1124"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64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820" w:type="dxa"/>
            <w:vAlign w:val="bottom"/>
          </w:tcPr>
          <w:p>
            <w:pPr>
              <w:spacing w:after="0"/>
              <w:rPr>
                <w:sz w:val="16"/>
                <w:szCs w:val="16"/>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1,134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2,951</w:t>
            </w:r>
          </w:p>
        </w:tc>
      </w:tr>
      <w:tr>
        <w:trPr>
          <w:trHeight w:val="191"/>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Severance expense</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400" w:type="dxa"/>
            <w:vAlign w:val="bottom"/>
          </w:tcPr>
          <w:p>
            <w:pPr>
              <w:spacing w:after="0"/>
              <w:rPr>
                <w:sz w:val="20"/>
                <w:szCs w:val="20"/>
                <w:color w:val="auto"/>
              </w:rPr>
            </w:pPr>
            <w:r>
              <w:rPr>
                <w:rFonts w:ascii="Arial" w:cs="Arial" w:eastAsia="Arial" w:hAnsi="Arial"/>
                <w:sz w:val="16"/>
                <w:szCs w:val="16"/>
                <w:color w:val="auto"/>
              </w:rPr>
              <w:t>Total stock-based compensation expense</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84"/>
              </w:rPr>
              <w:t>2,491</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4,410</w:t>
            </w:r>
          </w:p>
        </w:tc>
      </w:tr>
      <w:tr>
        <w:trPr>
          <w:trHeight w:val="20"/>
        </w:trPr>
        <w:tc>
          <w:tcPr>
            <w:tcW w:w="6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Stock Option Awards</w:t>
      </w:r>
    </w:p>
    <w:p>
      <w:pPr>
        <w:spacing w:after="0" w:line="198" w:lineRule="exact"/>
        <w:rPr>
          <w:sz w:val="20"/>
          <w:szCs w:val="20"/>
          <w:color w:val="auto"/>
        </w:rPr>
      </w:pPr>
    </w:p>
    <w:p>
      <w:pPr>
        <w:jc w:val="both"/>
        <w:ind w:left="4"/>
        <w:spacing w:after="0" w:line="292" w:lineRule="auto"/>
        <w:rPr>
          <w:sz w:val="20"/>
          <w:szCs w:val="20"/>
          <w:color w:val="auto"/>
        </w:rPr>
      </w:pPr>
      <w:r>
        <w:rPr>
          <w:rFonts w:ascii="Arial" w:cs="Arial" w:eastAsia="Arial" w:hAnsi="Arial"/>
          <w:sz w:val="14"/>
          <w:szCs w:val="14"/>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for options granted prior to the second anniversary of the IPO is based on a blend of historical volatilities for publicly traded stock of comparable companies and the Company over the estimated expected term of the stock options. For options granted after the second anniversary of the IPO, expected volatility is based on the Company’s historical volatility over the estimated expected term of the stock options. The Company assumes no dividend yield because dividends are not expected to be paid in the near future, which is consistent with the Company’s history of not paying dividends.</w:t>
      </w:r>
    </w:p>
    <w:p>
      <w:pPr>
        <w:spacing w:after="0" w:line="144" w:lineRule="exact"/>
        <w:rPr>
          <w:sz w:val="20"/>
          <w:szCs w:val="20"/>
          <w:color w:val="auto"/>
        </w:rPr>
      </w:pPr>
    </w:p>
    <w:p>
      <w:pPr>
        <w:jc w:val="both"/>
        <w:ind w:left="4"/>
        <w:spacing w:after="0" w:line="309" w:lineRule="auto"/>
        <w:rPr>
          <w:sz w:val="20"/>
          <w:szCs w:val="20"/>
          <w:color w:val="auto"/>
        </w:rPr>
      </w:pPr>
      <w:r>
        <w:rPr>
          <w:rFonts w:ascii="Arial" w:cs="Arial" w:eastAsia="Arial" w:hAnsi="Arial"/>
          <w:sz w:val="15"/>
          <w:szCs w:val="15"/>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2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Using the Black-Scholes option-pricing model, the weighted-average fair value of awards granted during the years ended December 31, 2020 and 2019, fair value was $5.00 and $22.88 per share, respectively. The assumptions used to estimate fair value are as follows: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2019</w:t>
            </w:r>
          </w:p>
        </w:tc>
        <w:tc>
          <w:tcPr>
            <w:tcW w:w="11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600" w:type="dxa"/>
            <w:vAlign w:val="bottom"/>
            <w:gridSpan w:val="2"/>
            <w:shd w:val="clear" w:color="auto" w:fill="CCEEFF"/>
          </w:tcPr>
          <w:p>
            <w:pPr>
              <w:jc w:val="center"/>
              <w:ind w:left="3160"/>
              <w:spacing w:after="0"/>
              <w:rPr>
                <w:sz w:val="20"/>
                <w:szCs w:val="20"/>
                <w:color w:val="auto"/>
              </w:rPr>
            </w:pPr>
            <w:r>
              <w:rPr>
                <w:rFonts w:ascii="Arial" w:cs="Arial" w:eastAsia="Arial" w:hAnsi="Arial"/>
                <w:sz w:val="16"/>
                <w:szCs w:val="16"/>
                <w:color w:val="auto"/>
                <w:w w:val="91"/>
              </w:rPr>
              <w:t>0.38% - 1.65%</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1.75% - 2.61%</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4600" w:type="dxa"/>
            <w:vAlign w:val="bottom"/>
            <w:gridSpan w:val="2"/>
          </w:tcPr>
          <w:p>
            <w:pPr>
              <w:jc w:val="center"/>
              <w:ind w:left="3160"/>
              <w:spacing w:after="0"/>
              <w:rPr>
                <w:sz w:val="20"/>
                <w:szCs w:val="20"/>
                <w:color w:val="auto"/>
              </w:rPr>
            </w:pPr>
            <w:r>
              <w:rPr>
                <w:rFonts w:ascii="Arial" w:cs="Arial" w:eastAsia="Arial" w:hAnsi="Arial"/>
                <w:sz w:val="16"/>
                <w:szCs w:val="16"/>
                <w:color w:val="auto"/>
                <w:w w:val="88"/>
              </w:rPr>
              <w:t>5.50 - 10.00</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1"/>
              </w:rPr>
              <w:t>5.50 - 10.00</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4600" w:type="dxa"/>
            <w:vAlign w:val="bottom"/>
            <w:gridSpan w:val="2"/>
            <w:shd w:val="clear" w:color="auto" w:fill="CCEEFF"/>
          </w:tcPr>
          <w:p>
            <w:pPr>
              <w:jc w:val="center"/>
              <w:ind w:left="3160"/>
              <w:spacing w:after="0"/>
              <w:rPr>
                <w:sz w:val="20"/>
                <w:szCs w:val="20"/>
                <w:color w:val="auto"/>
              </w:rPr>
            </w:pPr>
            <w:r>
              <w:rPr>
                <w:rFonts w:ascii="Arial" w:cs="Arial" w:eastAsia="Arial" w:hAnsi="Arial"/>
                <w:sz w:val="16"/>
                <w:szCs w:val="16"/>
                <w:color w:val="auto"/>
                <w:w w:val="91"/>
              </w:rPr>
              <w:t>89.49% - 93.07%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84.82% - 85.93%</w:t>
            </w:r>
          </w:p>
        </w:tc>
        <w:tc>
          <w:tcPr>
            <w:tcW w:w="1140" w:type="dxa"/>
            <w:vAlign w:val="bottom"/>
          </w:tcPr>
          <w:p>
            <w:pPr>
              <w:spacing w:after="0"/>
              <w:rPr>
                <w:sz w:val="16"/>
                <w:szCs w:val="16"/>
                <w:color w:val="auto"/>
              </w:rPr>
            </w:pPr>
          </w:p>
        </w:tc>
      </w:tr>
      <w:tr>
        <w:trPr>
          <w:trHeight w:val="204"/>
        </w:trPr>
        <w:tc>
          <w:tcPr>
            <w:tcW w:w="11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4600" w:type="dxa"/>
            <w:vAlign w:val="bottom"/>
            <w:gridSpan w:val="2"/>
          </w:tcPr>
          <w:p>
            <w:pPr>
              <w:jc w:val="center"/>
              <w:ind w:left="3160"/>
              <w:spacing w:after="0"/>
              <w:rPr>
                <w:sz w:val="20"/>
                <w:szCs w:val="20"/>
                <w:color w:val="auto"/>
              </w:rPr>
            </w:pPr>
            <w:r>
              <w:rPr>
                <w:rFonts w:ascii="Arial" w:cs="Arial" w:eastAsia="Arial" w:hAnsi="Arial"/>
                <w:sz w:val="16"/>
                <w:szCs w:val="16"/>
                <w:color w:val="auto"/>
                <w:w w:val="89"/>
              </w:rPr>
              <w:t>0</w:t>
            </w:r>
          </w:p>
        </w:tc>
        <w:tc>
          <w:tcPr>
            <w:tcW w:w="1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0</w:t>
            </w:r>
          </w:p>
        </w:tc>
        <w:tc>
          <w:tcPr>
            <w:tcW w:w="1140" w:type="dxa"/>
            <w:vAlign w:val="bottom"/>
          </w:tcPr>
          <w:p>
            <w:pPr>
              <w:spacing w:after="0"/>
              <w:rPr>
                <w:sz w:val="17"/>
                <w:szCs w:val="17"/>
                <w:color w:val="auto"/>
              </w:rPr>
            </w:pPr>
          </w:p>
        </w:tc>
      </w:tr>
      <w:tr>
        <w:trPr>
          <w:trHeight w:val="370"/>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40" w:type="dxa"/>
            <w:vAlign w:val="bottom"/>
          </w:tcPr>
          <w:p>
            <w:pPr>
              <w:jc w:val="right"/>
              <w:ind w:right="1520"/>
              <w:spacing w:after="0"/>
              <w:rPr>
                <w:sz w:val="20"/>
                <w:szCs w:val="20"/>
                <w:color w:val="auto"/>
              </w:rPr>
            </w:pPr>
            <w:r>
              <w:rPr>
                <w:rFonts w:ascii="Arial" w:cs="Arial" w:eastAsia="Arial" w:hAnsi="Arial"/>
                <w:sz w:val="16"/>
                <w:szCs w:val="16"/>
                <w:color w:val="auto"/>
              </w:rPr>
              <w:t>151</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4"/>
          </w:cols>
          <w:pgMar w:left="316" w:top="744" w:right="31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t>The activity under the Incentive Stock Plan and the 2014 Plan for the year ended December 31, 2020, is summarized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3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Weighted</w:t>
            </w: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0"/>
              <w:spacing w:after="0"/>
              <w:rPr>
                <w:sz w:val="20"/>
                <w:szCs w:val="20"/>
                <w:color w:val="auto"/>
              </w:rPr>
            </w:pPr>
            <w:r>
              <w:rPr>
                <w:rFonts w:ascii="Arial" w:cs="Arial" w:eastAsia="Arial" w:hAnsi="Arial"/>
                <w:sz w:val="16"/>
                <w:szCs w:val="16"/>
                <w:b w:val="1"/>
                <w:bCs w:val="1"/>
                <w:color w:val="auto"/>
                <w:w w:val="85"/>
              </w:rPr>
              <w:t>Aggregate</w:t>
            </w:r>
          </w:p>
        </w:tc>
      </w:tr>
      <w:tr>
        <w:trPr>
          <w:trHeight w:val="191"/>
        </w:trPr>
        <w:tc>
          <w:tcPr>
            <w:tcW w:w="370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0"/>
              <w:spacing w:after="0"/>
              <w:rPr>
                <w:sz w:val="20"/>
                <w:szCs w:val="20"/>
                <w:color w:val="auto"/>
              </w:rPr>
            </w:pPr>
            <w:r>
              <w:rPr>
                <w:rFonts w:ascii="Arial" w:cs="Arial" w:eastAsia="Arial" w:hAnsi="Arial"/>
                <w:sz w:val="16"/>
                <w:szCs w:val="16"/>
                <w:b w:val="1"/>
                <w:bCs w:val="1"/>
                <w:color w:val="auto"/>
                <w:w w:val="96"/>
              </w:rPr>
              <w:t>Intrinsic</w:t>
            </w:r>
          </w:p>
        </w:tc>
      </w:tr>
      <w:tr>
        <w:trPr>
          <w:trHeight w:val="208"/>
        </w:trPr>
        <w:tc>
          <w:tcPr>
            <w:tcW w:w="3700" w:type="dxa"/>
            <w:vAlign w:val="bottom"/>
          </w:tcPr>
          <w:p>
            <w:pPr>
              <w:spacing w:after="0"/>
              <w:rPr>
                <w:sz w:val="18"/>
                <w:szCs w:val="18"/>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7"/>
              </w:rPr>
              <w:t>Exercise Price</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Contractual Term</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8"/>
              </w:rPr>
              <w:t>Value</w:t>
            </w:r>
          </w:p>
        </w:tc>
      </w:tr>
      <w:tr>
        <w:trPr>
          <w:trHeight w:val="18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Outstanding balance at January 1, 2020</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324,473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37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92,869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5.21</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 or released</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10,526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3700" w:type="dxa"/>
            <w:vAlign w:val="bottom"/>
          </w:tcPr>
          <w:p>
            <w:pPr>
              <w:ind w:left="140"/>
              <w:spacing w:after="0"/>
              <w:rPr>
                <w:sz w:val="20"/>
                <w:szCs w:val="20"/>
                <w:color w:val="auto"/>
              </w:rPr>
            </w:pPr>
            <w:r>
              <w:rPr>
                <w:rFonts w:ascii="Arial" w:cs="Arial" w:eastAsia="Arial" w:hAnsi="Arial"/>
                <w:sz w:val="16"/>
                <w:szCs w:val="16"/>
                <w:color w:val="auto"/>
              </w:rPr>
              <w:t>Canceled or forfeited</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50,659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131.61</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85.14</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83"/>
        </w:trPr>
        <w:tc>
          <w:tcPr>
            <w:tcW w:w="3700" w:type="dxa"/>
            <w:vAlign w:val="bottom"/>
          </w:tcPr>
          <w:p>
            <w:pPr>
              <w:spacing w:after="0"/>
              <w:rPr>
                <w:sz w:val="20"/>
                <w:szCs w:val="20"/>
                <w:color w:val="auto"/>
              </w:rPr>
            </w:pPr>
            <w:r>
              <w:rPr>
                <w:rFonts w:ascii="Arial" w:cs="Arial" w:eastAsia="Arial" w:hAnsi="Arial"/>
                <w:sz w:val="16"/>
                <w:szCs w:val="16"/>
                <w:color w:val="auto"/>
              </w:rPr>
              <w:t>Outstanding balance at December 31, 2020</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355,785</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74.60</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7.34</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543,021</w:t>
            </w:r>
          </w:p>
        </w:tc>
      </w:tr>
      <w:tr>
        <w:trPr>
          <w:trHeight w:val="183"/>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Exercisable at December 31, 2020</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191,134</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103,581</w:t>
            </w:r>
          </w:p>
        </w:tc>
      </w:tr>
      <w:tr>
        <w:trPr>
          <w:trHeight w:val="183"/>
        </w:trPr>
        <w:tc>
          <w:tcPr>
            <w:tcW w:w="3700" w:type="dxa"/>
            <w:vAlign w:val="bottom"/>
          </w:tcPr>
          <w:p>
            <w:pPr>
              <w:spacing w:after="0"/>
              <w:rPr>
                <w:sz w:val="20"/>
                <w:szCs w:val="20"/>
                <w:color w:val="auto"/>
              </w:rPr>
            </w:pPr>
            <w:r>
              <w:rPr>
                <w:rFonts w:ascii="Arial" w:cs="Arial" w:eastAsia="Arial" w:hAnsi="Arial"/>
                <w:sz w:val="16"/>
                <w:szCs w:val="16"/>
                <w:color w:val="auto"/>
              </w:rPr>
              <w:t>Vested and expected to vest at December 31, 2020</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281,368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92.53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6.88</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163,506</w:t>
            </w:r>
          </w:p>
        </w:tc>
      </w:tr>
      <w:tr>
        <w:trPr>
          <w:trHeight w:val="20"/>
        </w:trPr>
        <w:tc>
          <w:tcPr>
            <w:tcW w:w="3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currently outstanding and exercisable options as of December 31, 2020, is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Options Outstanding</w:t>
            </w:r>
          </w:p>
        </w:tc>
        <w:tc>
          <w:tcPr>
            <w:tcW w:w="8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Options Exercisable</w:t>
            </w:r>
          </w:p>
        </w:tc>
      </w:tr>
      <w:tr>
        <w:trPr>
          <w:trHeight w:val="167"/>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88"/>
              </w:rPr>
              <w:t>Weighted Avg</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89"/>
              </w:rPr>
              <w:t>Weighted Avg</w:t>
            </w:r>
          </w:p>
        </w:tc>
      </w:tr>
      <w:tr>
        <w:trPr>
          <w:trHeight w:val="191"/>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80" w:type="dxa"/>
            <w:vAlign w:val="bottom"/>
          </w:tcPr>
          <w:p>
            <w:pPr>
              <w:spacing w:after="0"/>
              <w:rPr>
                <w:sz w:val="16"/>
                <w:szCs w:val="16"/>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r>
      <w:tr>
        <w:trPr>
          <w:trHeight w:val="20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Exercise Price</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Contractual Term</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Contractual Term</w:t>
            </w:r>
          </w:p>
        </w:tc>
      </w:tr>
      <w:tr>
        <w:trPr>
          <w:trHeight w:val="183"/>
        </w:trPr>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$2.848 to $80.00</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243,875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97,759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191"/>
        </w:trPr>
        <w:tc>
          <w:tcPr>
            <w:tcW w:w="37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$80.01 to $160.00</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57,494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38,959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5.44</w:t>
            </w:r>
          </w:p>
        </w:tc>
      </w:tr>
      <w:tr>
        <w:trPr>
          <w:trHeight w:val="191"/>
        </w:trPr>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$160.01 to $240.00</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20,864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20,864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191"/>
        </w:trPr>
        <w:tc>
          <w:tcPr>
            <w:tcW w:w="37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$240.01 to $320.00</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12,616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4.84</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12,616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4.84</w:t>
            </w:r>
          </w:p>
        </w:tc>
      </w:tr>
      <w:tr>
        <w:trPr>
          <w:trHeight w:val="203"/>
        </w:trPr>
        <w:tc>
          <w:tcPr>
            <w:tcW w:w="3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$320.01 to $327.20</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20,936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20,936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183"/>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355,785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7.33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191,134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stock options vested during the years ended December 31, 2020 and 2019, was $3.7 million and $4.9 million,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gridSpan w:val="3"/>
          </w:tcPr>
          <w:p>
            <w:pPr>
              <w:spacing w:after="0"/>
              <w:rPr>
                <w:sz w:val="20"/>
                <w:szCs w:val="20"/>
                <w:color w:val="auto"/>
              </w:rPr>
            </w:pPr>
            <w:r>
              <w:rPr>
                <w:rFonts w:ascii="Arial" w:cs="Arial" w:eastAsia="Arial" w:hAnsi="Arial"/>
                <w:sz w:val="16"/>
                <w:szCs w:val="16"/>
                <w:color w:val="auto"/>
              </w:rPr>
              <w:t>Unvested stock options as of December 31, 2020 and 2019, were as follows: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Number of Unvested Shares</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6300" w:type="dxa"/>
            <w:vAlign w:val="bottom"/>
            <w:vMerge w:val="restart"/>
          </w:tcPr>
          <w:p>
            <w:pP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vMerge w:val="restart"/>
          </w:tcPr>
          <w:p>
            <w:pPr>
              <w:spacing w:after="0"/>
              <w:rPr>
                <w:sz w:val="15"/>
                <w:szCs w:val="15"/>
                <w:color w:val="auto"/>
              </w:rPr>
            </w:pPr>
          </w:p>
        </w:tc>
        <w:tc>
          <w:tcPr>
            <w:tcW w:w="1800" w:type="dxa"/>
            <w:vAlign w:val="bottom"/>
            <w:tcBorders>
              <w:bottom w:val="single" w:sz="8" w:color="auto"/>
            </w:tcBorders>
            <w:gridSpan w:val="3"/>
          </w:tcPr>
          <w:p>
            <w:pPr>
              <w:jc w:val="center"/>
              <w:ind w:left="720"/>
              <w:spacing w:after="0"/>
              <w:rPr>
                <w:sz w:val="20"/>
                <w:szCs w:val="20"/>
                <w:color w:val="auto"/>
              </w:rPr>
            </w:pPr>
            <w:r>
              <w:rPr>
                <w:rFonts w:ascii="Arial" w:cs="Arial" w:eastAsia="Arial" w:hAnsi="Arial"/>
                <w:sz w:val="16"/>
                <w:szCs w:val="16"/>
                <w:b w:val="1"/>
                <w:bCs w:val="1"/>
                <w:color w:val="auto"/>
                <w:w w:val="88"/>
              </w:rPr>
              <w:t>December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6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$2.848 to $80.00</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146,116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151,495</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6"/>
                <w:szCs w:val="16"/>
                <w:color w:val="auto"/>
              </w:rPr>
              <w:t>$80.01 to $160.00</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18,535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31,436</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$160.01 to $240.00</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6"/>
                <w:szCs w:val="16"/>
                <w:color w:val="auto"/>
              </w:rPr>
              <w:t>$240.01 to $320.00</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$320.01 to $327.20</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6"/>
                <w:szCs w:val="16"/>
                <w:color w:val="auto"/>
              </w:rPr>
              <w:t>Total number of unvested stock options</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164,651</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189,859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December 31, 2020, there was $1.7 million of total unrecognized compensation cost related to unvested share-based compensation arrangements granted under the 2014 Plan. That compensation cost is expected to be recognized over a weighted-average period of 1.72 years.</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There was $0.3 million of stock-based compensation expense related to performance-based awards recognized during the year ended December 31, 2020. There was no stock-based compensation expense related to performance-based awards recognized during the year ended December 31,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152" w:name="page153"/>
    <w:bookmarkEnd w:id="152"/>
    <w:p>
      <w:pPr>
        <w:ind w:left="684" w:hanging="684"/>
        <w:spacing w:after="0"/>
        <w:tabs>
          <w:tab w:leader="none" w:pos="684"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Instruments</w:t>
      </w:r>
    </w:p>
    <w:p>
      <w:pPr>
        <w:spacing w:after="0" w:line="20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The carrying amounts of certain financial instruments, including cash and cash equivalents, restricted cash and accounts payable and accrued expenses, approximate their respective fair values due to the short-term nature of such instruments.</w:t>
      </w:r>
    </w:p>
    <w:p>
      <w:pPr>
        <w:spacing w:after="0" w:line="152"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The fair value of the Deerfield Convertible Note was $7.3 million and $6.0 million, respectively, as of December 31, 2020 and 2019. The fair value of the December 2019 Notes was $56.2 million and $57.0 million, respectively, as of December 31, 2020 and 2019. The fair value of the January 2020 Note was $3.1 million as of December 31, 2020 and the fair value of the 2021 Notes was $2.4 million as of December 31, 2019. The Deerfield Convertible Note, December 2019 Notes, January 2020 Note and 2021 Notes fall within Level 3 of the fair value hierarchy as their value is based on the credit worthiness of the Company, which is an unobservable input. The Company used a Tsiveriotis-Fernandes model to value the Deerfield Convertible Note and December 2019 Notes as of December 31, 2020 and 2019. The Company also used a Tsiveriotis-Fernandes model to value the January 2020 Note as of December 31, 2020 and the 2021 Notes as of December 31, 2019.</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198"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2020 and 2019 (in thousands):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Quoted Prices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87"/>
              </w:rPr>
              <w:t>Significant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in Active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0"/>
              <w:spacing w:after="0"/>
              <w:rPr>
                <w:sz w:val="20"/>
                <w:szCs w:val="20"/>
                <w:color w:val="auto"/>
              </w:rPr>
            </w:pPr>
            <w:r>
              <w:rPr>
                <w:rFonts w:ascii="Arial" w:cs="Arial" w:eastAsia="Arial" w:hAnsi="Arial"/>
                <w:sz w:val="16"/>
                <w:szCs w:val="16"/>
                <w:b w:val="1"/>
                <w:bCs w:val="1"/>
                <w:color w:val="auto"/>
                <w:w w:val="90"/>
              </w:rPr>
              <w:t>Significant</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Balance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5"/>
              </w:rPr>
              <w:t>Markets for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87"/>
              </w:rPr>
              <w:t>Observable</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Unobservable</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Identical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91"/>
              </w:rPr>
              <w:t>Inputs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Inputs</w:t>
            </w:r>
          </w:p>
        </w:tc>
        <w:tc>
          <w:tcPr>
            <w:tcW w:w="1140" w:type="dxa"/>
            <w:vAlign w:val="bottom"/>
          </w:tcPr>
          <w:p>
            <w:pPr>
              <w:spacing w:after="0"/>
              <w:rPr>
                <w:sz w:val="16"/>
                <w:szCs w:val="16"/>
                <w:color w:val="auto"/>
              </w:rPr>
            </w:pPr>
          </w:p>
        </w:tc>
      </w:tr>
      <w:tr>
        <w:trPr>
          <w:trHeight w:val="208"/>
        </w:trPr>
        <w:tc>
          <w:tcPr>
            <w:tcW w:w="1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3)</w:t>
            </w: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Deerfield Warrant liability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Embedded Warrant Put Option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Deerfield Note Conversion Feature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203"/>
        </w:trPr>
        <w:tc>
          <w:tcPr>
            <w:tcW w:w="11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KVK Warrant liability</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223"/>
        </w:trPr>
        <w:tc>
          <w:tcPr>
            <w:tcW w:w="11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140" w:type="dxa"/>
            <w:vAlign w:val="bottom"/>
          </w:tcPr>
          <w:p>
            <w:pPr>
              <w:spacing w:after="0"/>
              <w:rPr>
                <w:sz w:val="19"/>
                <w:szCs w:val="19"/>
                <w:color w:val="auto"/>
              </w:rPr>
            </w:pPr>
          </w:p>
        </w:tc>
      </w:tr>
      <w:tr>
        <w:trPr>
          <w:trHeight w:val="342"/>
        </w:trPr>
        <w:tc>
          <w:tcPr>
            <w:tcW w:w="11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Quoted Prices</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7"/>
              </w:rPr>
              <w:t>Significant</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in Active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0"/>
              <w:spacing w:after="0"/>
              <w:rPr>
                <w:sz w:val="20"/>
                <w:szCs w:val="20"/>
                <w:color w:val="auto"/>
              </w:rPr>
            </w:pPr>
            <w:r>
              <w:rPr>
                <w:rFonts w:ascii="Arial" w:cs="Arial" w:eastAsia="Arial" w:hAnsi="Arial"/>
                <w:sz w:val="16"/>
                <w:szCs w:val="16"/>
                <w:b w:val="1"/>
                <w:bCs w:val="1"/>
                <w:color w:val="auto"/>
                <w:w w:val="90"/>
              </w:rPr>
              <w:t>Significant</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Balance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5"/>
              </w:rPr>
              <w:t>Markets for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87"/>
              </w:rPr>
              <w:t>Observable</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Unobservable</w:t>
            </w:r>
          </w:p>
        </w:tc>
        <w:tc>
          <w:tcPr>
            <w:tcW w:w="1140" w:type="dxa"/>
            <w:vAlign w:val="bottom"/>
          </w:tcPr>
          <w:p>
            <w:pPr>
              <w:spacing w:after="0"/>
              <w:rPr>
                <w:sz w:val="16"/>
                <w:szCs w:val="16"/>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Identical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0"/>
              <w:spacing w:after="0"/>
              <w:rPr>
                <w:sz w:val="20"/>
                <w:szCs w:val="20"/>
                <w:color w:val="auto"/>
              </w:rPr>
            </w:pPr>
            <w:r>
              <w:rPr>
                <w:rFonts w:ascii="Arial" w:cs="Arial" w:eastAsia="Arial" w:hAnsi="Arial"/>
                <w:sz w:val="16"/>
                <w:szCs w:val="16"/>
                <w:b w:val="1"/>
                <w:bCs w:val="1"/>
                <w:color w:val="auto"/>
                <w:w w:val="91"/>
              </w:rPr>
              <w:t>Inputs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Inputs</w:t>
            </w:r>
          </w:p>
        </w:tc>
        <w:tc>
          <w:tcPr>
            <w:tcW w:w="1140" w:type="dxa"/>
            <w:vAlign w:val="bottom"/>
          </w:tcPr>
          <w:p>
            <w:pPr>
              <w:spacing w:after="0"/>
              <w:rPr>
                <w:sz w:val="16"/>
                <w:szCs w:val="16"/>
                <w:color w:val="auto"/>
              </w:rPr>
            </w:pPr>
          </w:p>
        </w:tc>
      </w:tr>
      <w:tr>
        <w:trPr>
          <w:trHeight w:val="208"/>
        </w:trPr>
        <w:tc>
          <w:tcPr>
            <w:tcW w:w="1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3)</w:t>
            </w: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Deerfield Warrant liability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Embedded Warrant Put Option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140" w:type="dxa"/>
            <w:vAlign w:val="bottom"/>
          </w:tcPr>
          <w:p>
            <w:pPr>
              <w:spacing w:after="0"/>
              <w:rPr>
                <w:sz w:val="16"/>
                <w:szCs w:val="16"/>
                <w:color w:val="auto"/>
              </w:rPr>
            </w:pPr>
          </w:p>
        </w:tc>
      </w:tr>
      <w:tr>
        <w:trPr>
          <w:trHeight w:val="179"/>
        </w:trPr>
        <w:tc>
          <w:tcPr>
            <w:tcW w:w="1120" w:type="dxa"/>
            <w:vAlign w:val="bottom"/>
          </w:tcPr>
          <w:p>
            <w:pPr>
              <w:spacing w:after="0"/>
              <w:rPr>
                <w:sz w:val="15"/>
                <w:szCs w:val="15"/>
                <w:color w:val="auto"/>
              </w:rPr>
            </w:pPr>
          </w:p>
        </w:tc>
        <w:tc>
          <w:tcPr>
            <w:tcW w:w="43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89"/>
              </w:rPr>
              <w:t>Fundamental change and make-whole interest provisions embedded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11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within 2021 Notes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191"/>
        </w:trPr>
        <w:tc>
          <w:tcPr>
            <w:tcW w:w="11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Deerfield Note Conversion Feature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203"/>
        </w:trPr>
        <w:tc>
          <w:tcPr>
            <w:tcW w:w="11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KVK Warrant liability</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183"/>
        </w:trPr>
        <w:tc>
          <w:tcPr>
            <w:tcW w:w="11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liabilities</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11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60" w:type="dxa"/>
            <w:vAlign w:val="bottom"/>
            <w:gridSpan w:val="3"/>
          </w:tcPr>
          <w:p>
            <w:pPr>
              <w:jc w:val="right"/>
              <w:ind w:right="820"/>
              <w:spacing w:after="0"/>
              <w:rPr>
                <w:sz w:val="20"/>
                <w:szCs w:val="20"/>
                <w:color w:val="auto"/>
              </w:rPr>
            </w:pPr>
            <w:r>
              <w:rPr>
                <w:rFonts w:ascii="Arial" w:cs="Arial" w:eastAsia="Arial" w:hAnsi="Arial"/>
                <w:sz w:val="16"/>
                <w:szCs w:val="16"/>
                <w:color w:val="auto"/>
                <w:w w:val="89"/>
              </w:rPr>
              <w:t>153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4"/>
          </w:cols>
          <w:pgMar w:left="316" w:top="744" w:right="319" w:bottom="1440" w:gutter="0" w:footer="0" w:header="0"/>
        </w:sectPr>
      </w:pPr>
    </w:p>
    <w:bookmarkStart w:id="153" w:name="page154"/>
    <w:bookmarkEnd w:id="153"/>
    <w:p>
      <w:pPr>
        <w:jc w:val="both"/>
        <w:spacing w:after="0" w:line="292" w:lineRule="auto"/>
        <w:rPr>
          <w:sz w:val="20"/>
          <w:szCs w:val="20"/>
          <w:color w:val="auto"/>
        </w:rPr>
      </w:pPr>
      <w:r>
        <w:rPr>
          <w:rFonts w:ascii="Arial" w:cs="Arial" w:eastAsia="Arial" w:hAnsi="Arial"/>
          <w:sz w:val="14"/>
          <w:szCs w:val="14"/>
          <w:color w:val="auto"/>
        </w:rPr>
        <w:t>The Company’s Deerfield Warrant liability, embedded Warrant Put Option, embedded Deerfield Note Put Option and the fundamental change and the make-whole interest provisions embedded in the 2021 Notes are measured at fair value on a recurring basis. As of December 31, 2020 and December 31, 2019, the Deerfield Warrant liability, embedded Warrant Put Option and the embedded Deerfield Note Put Option are reported on the balance sheets in derivative and warrant liability. The Company used a Monte Carlo simulation to value the Deerfield Warrant liability, embedded Warrant Put Option and the embedded Deerfield Note Put Option as of December 31, 2020 and December 31, 2019. The Company also used a Monte Carlo simulation to value the fundamental change and make-whole interest provisions embedded in the 2021 Notes as of December 31, 2019.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embedded Warrant Put Option and the embedded Deerfield Note Put Option are reflected in the statements of operations for the years ended December 31, 2020 and 2019 as a fair value adjustment related to derivative and warrant liability. In addition, changes in the fair value of the fundamental change and make-whole interest provisions embedded in the 2021 Notes are reflected in the statements of operations for the year ended December 31, 2019 as a fair value adjustment related to derivative and warrant liability.</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derivative liability for the Deerfield Warrant was $230,000 and $77,000 at December 31, 2020 and 2019, respectively. The derivative liability for the embedded Warrant Put Option was $25,000 and $19,000 at December 31, 2020 and 2019, respectively. The derivative liability for the Deerfield Note Conversion Feature had no value at December 31, 2020 or 2019, respectively. A 10% increase in the enterprise value would result in an increase of $29,000 in the estimated fair value of the Deerfield Warrant liability, an increase of $8,000 in the estimated fair value of the embedded Warrant Put Option liability and no change in the estimated fair value of the Deerfield Note Conversion Feature liability. In addition, the Company assumed a weighted-average probability of a liquidity event occurring of approximately 87% with an estimated probability-weighted value of approximately $45.3 million and a weighted-average probability of a fundamental change event occurring of approximately 47% with an estimated probability-weighted value of approximately $200 million, respectively, with estimated timing in each scenario of Q1 2021. The Company also assumed a present value discount rate of approximately 27% in its analysis, which approximates the estimated credit spread of the Company at the date of the latest debt financing event which is most closely related to relative notes.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KVK Warrant liability is measured at fair value on a recurring basis. As of December 31, 2020 and December 31, 2019, the KVK Warrant liability is reported on the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statements of operations for the years ended December 31, 2020 and 2019 as a fair value adjustment related to derivative and warrant liability.</w:t>
      </w:r>
    </w:p>
    <w:p>
      <w:pPr>
        <w:spacing w:after="0" w:line="169"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 reconciliation of the beginning and ending balances for the derivative and warrant liability measured at fair value on a recurring basis using significant unobservable inputs (Level 3)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1140" w:type="dxa"/>
            <w:vAlign w:val="bottom"/>
          </w:tcPr>
          <w:p>
            <w:pPr>
              <w:spacing w:after="0"/>
              <w:rPr>
                <w:sz w:val="18"/>
                <w:szCs w:val="18"/>
                <w:color w:val="auto"/>
              </w:rPr>
            </w:pPr>
          </w:p>
        </w:tc>
      </w:tr>
      <w:tr>
        <w:trPr>
          <w:trHeight w:val="183"/>
        </w:trPr>
        <w:tc>
          <w:tcPr>
            <w:tcW w:w="11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beginning of period</w:t>
            </w:r>
          </w:p>
        </w:tc>
        <w:tc>
          <w:tcPr>
            <w:tcW w:w="402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140" w:type="dxa"/>
            <w:vAlign w:val="bottom"/>
          </w:tcPr>
          <w:p>
            <w:pPr>
              <w:spacing w:after="0"/>
              <w:rPr>
                <w:sz w:val="15"/>
                <w:szCs w:val="15"/>
                <w:color w:val="auto"/>
              </w:rPr>
            </w:pPr>
          </w:p>
        </w:tc>
      </w:tr>
      <w:tr>
        <w:trPr>
          <w:trHeight w:val="191"/>
        </w:trPr>
        <w:tc>
          <w:tcPr>
            <w:tcW w:w="1120" w:type="dxa"/>
            <w:vAlign w:val="bottom"/>
          </w:tcPr>
          <w:p>
            <w:pPr>
              <w:spacing w:after="0"/>
              <w:rPr>
                <w:sz w:val="16"/>
                <w:szCs w:val="16"/>
                <w:color w:val="auto"/>
              </w:rPr>
            </w:pPr>
          </w:p>
        </w:tc>
        <w:tc>
          <w:tcPr>
            <w:tcW w:w="3260" w:type="dxa"/>
            <w:vAlign w:val="bottom"/>
          </w:tcPr>
          <w:p>
            <w:pPr>
              <w:ind w:left="140"/>
              <w:spacing w:after="0"/>
              <w:rPr>
                <w:sz w:val="20"/>
                <w:szCs w:val="20"/>
                <w:color w:val="auto"/>
              </w:rPr>
            </w:pPr>
            <w:r>
              <w:rPr>
                <w:rFonts w:ascii="Arial" w:cs="Arial" w:eastAsia="Arial" w:hAnsi="Arial"/>
                <w:sz w:val="16"/>
                <w:szCs w:val="16"/>
                <w:color w:val="auto"/>
              </w:rPr>
              <w:t>Adjustment to fair value</w:t>
            </w:r>
          </w:p>
        </w:tc>
        <w:tc>
          <w:tcPr>
            <w:tcW w:w="3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w:t>
            </w:r>
          </w:p>
        </w:tc>
        <w:tc>
          <w:tcPr>
            <w:tcW w:w="1140" w:type="dxa"/>
            <w:vAlign w:val="bottom"/>
          </w:tcPr>
          <w:p>
            <w:pPr>
              <w:spacing w:after="0"/>
              <w:rPr>
                <w:sz w:val="16"/>
                <w:szCs w:val="16"/>
                <w:color w:val="auto"/>
              </w:rPr>
            </w:pPr>
          </w:p>
        </w:tc>
      </w:tr>
      <w:tr>
        <w:trPr>
          <w:trHeight w:val="223"/>
        </w:trPr>
        <w:tc>
          <w:tcPr>
            <w:tcW w:w="11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end of period</w:t>
            </w:r>
          </w:p>
        </w:tc>
        <w:tc>
          <w:tcPr>
            <w:tcW w:w="402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140" w:type="dxa"/>
            <w:vAlign w:val="bottom"/>
          </w:tcPr>
          <w:p>
            <w:pPr>
              <w:spacing w:after="0"/>
              <w:rPr>
                <w:sz w:val="19"/>
                <w:szCs w:val="19"/>
                <w:color w:val="auto"/>
              </w:rPr>
            </w:pPr>
          </w:p>
        </w:tc>
      </w:tr>
      <w:tr>
        <w:trPr>
          <w:trHeight w:val="358"/>
        </w:trPr>
        <w:tc>
          <w:tcPr>
            <w:tcW w:w="1120" w:type="dxa"/>
            <w:vAlign w:val="bottom"/>
          </w:tcPr>
          <w:p>
            <w:pPr>
              <w:spacing w:after="0"/>
              <w:rPr>
                <w:sz w:val="24"/>
                <w:szCs w:val="24"/>
                <w:color w:val="auto"/>
              </w:rPr>
            </w:pPr>
          </w:p>
        </w:tc>
        <w:tc>
          <w:tcPr>
            <w:tcW w:w="326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jc w:val="right"/>
              <w:ind w:right="1700"/>
              <w:spacing w:after="0"/>
              <w:rPr>
                <w:sz w:val="20"/>
                <w:szCs w:val="20"/>
                <w:color w:val="auto"/>
              </w:rPr>
            </w:pPr>
            <w:r>
              <w:rPr>
                <w:rFonts w:ascii="Arial" w:cs="Arial" w:eastAsia="Arial" w:hAnsi="Arial"/>
                <w:sz w:val="16"/>
                <w:szCs w:val="16"/>
                <w:color w:val="auto"/>
              </w:rPr>
              <w:t>154</w:t>
            </w: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3" w:right="319" w:bottom="1440" w:gutter="0" w:footer="0" w:header="0"/>
        </w:sectPr>
      </w:pPr>
    </w:p>
    <w:bookmarkStart w:id="154" w:name="page155"/>
    <w:bookmarkEnd w:id="154"/>
    <w:p>
      <w:pPr>
        <w:ind w:left="684" w:hanging="684"/>
        <w:spacing w:after="0"/>
        <w:tabs>
          <w:tab w:leader="none" w:pos="684"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02" w:lineRule="exact"/>
        <w:rPr>
          <w:sz w:val="20"/>
          <w:szCs w:val="20"/>
          <w:color w:val="auto"/>
        </w:rPr>
      </w:pPr>
    </w:p>
    <w:p>
      <w:pPr>
        <w:jc w:val="both"/>
        <w:ind w:left="4"/>
        <w:spacing w:after="0" w:line="317" w:lineRule="auto"/>
        <w:rPr>
          <w:sz w:val="20"/>
          <w:szCs w:val="20"/>
          <w:color w:val="auto"/>
        </w:rPr>
      </w:pPr>
      <w:r>
        <w:rPr>
          <w:rFonts w:ascii="Arial" w:cs="Arial" w:eastAsia="Arial" w:hAnsi="Arial"/>
          <w:sz w:val="14"/>
          <w:szCs w:val="14"/>
          <w:color w:val="auto"/>
        </w:rPr>
        <w:t>The Company’s financial statements include a total state tax benefit related to research and development credits of $34,000 and $22,000 on a loss before income taxes of approximately $12.8 million and $24.5 million for the years ended December 31, 2020 and 2019, respectively. A reconciliation of the difference between the benefit for income taxes and income taxes at the statutory U.S. federal income tax rate is as follows (in thousands, except amounts pertaining to rate which are shown as a percentage):</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6"/>
                <w:szCs w:val="16"/>
                <w:b w:val="1"/>
                <w:bCs w:val="1"/>
                <w:color w:val="auto"/>
                <w:w w:val="92"/>
              </w:rPr>
              <w:t>Year ended 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Federal statutory rate</w:t>
            </w:r>
          </w:p>
        </w:tc>
        <w:tc>
          <w:tcPr>
            <w:tcW w:w="1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Effect of:</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valuation allowance</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(28.52)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Return to provision and deferred true-up</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rate</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State tax benefit (net of federal)</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3.39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Warrant liability</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State research and development credit</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0.09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research and development credit</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(0.29)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Other</w:t>
            </w:r>
          </w:p>
        </w:tc>
        <w:tc>
          <w:tcPr>
            <w:tcW w:w="1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Federal income tax provision effective rate</w:t>
            </w:r>
          </w:p>
        </w:tc>
        <w:tc>
          <w:tcPr>
            <w:tcW w:w="1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380" w:type="dxa"/>
            <w:vAlign w:val="bottom"/>
            <w:gridSpan w:val="2"/>
          </w:tcPr>
          <w:p>
            <w:pPr>
              <w:spacing w:after="0"/>
              <w:rPr>
                <w:sz w:val="20"/>
                <w:szCs w:val="20"/>
                <w:color w:val="auto"/>
              </w:rPr>
            </w:pPr>
            <w:r>
              <w:rPr>
                <w:rFonts w:ascii="Arial" w:cs="Arial" w:eastAsia="Arial" w:hAnsi="Arial"/>
                <w:sz w:val="16"/>
                <w:szCs w:val="16"/>
                <w:color w:val="auto"/>
                <w:w w:val="91"/>
              </w:rPr>
              <w:t>The components of deferred tax assets and liabilities are as follows (in thousands):</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 relating to:</w:t>
            </w:r>
          </w:p>
        </w:tc>
        <w:tc>
          <w:tcPr>
            <w:tcW w:w="1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Net operating loss carryforwards</w:t>
            </w:r>
          </w:p>
        </w:tc>
        <w:tc>
          <w:tcPr>
            <w:tcW w:w="2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59,050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56,827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 tax carryforward</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6,411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Other deferred tax assets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5,089</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gross deferred tax assets</w:t>
            </w:r>
          </w:p>
        </w:tc>
        <w:tc>
          <w:tcPr>
            <w:tcW w:w="13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70,550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67,726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Deferred tax liabilities relating to:</w:t>
            </w: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Property and equipment</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6"/>
                <w:szCs w:val="16"/>
                <w:color w:val="auto"/>
              </w:rPr>
              <w:t>Other deferred tax liabilities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gross deferred tax liabilities</w:t>
            </w:r>
          </w:p>
        </w:tc>
        <w:tc>
          <w:tcPr>
            <w:tcW w:w="13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Deferred tax assets less liabilities</w:t>
            </w: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70,092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67,186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1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(70,092)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(67,186)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Net deferred tax asset (liability)</w:t>
            </w:r>
          </w:p>
        </w:tc>
        <w:tc>
          <w:tcPr>
            <w:tcW w:w="2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40" w:type="dxa"/>
            <w:vAlign w:val="bottom"/>
            <w:vMerge w:val="restart"/>
          </w:tcPr>
          <w:p>
            <w:pPr>
              <w:jc w:val="right"/>
              <w:ind w:right="900"/>
              <w:spacing w:after="0"/>
              <w:rPr>
                <w:sz w:val="20"/>
                <w:szCs w:val="20"/>
                <w:color w:val="auto"/>
              </w:rPr>
            </w:pPr>
            <w:r>
              <w:rPr>
                <w:rFonts w:ascii="Arial" w:cs="Arial" w:eastAsia="Arial" w:hAnsi="Arial"/>
                <w:sz w:val="16"/>
                <w:szCs w:val="16"/>
                <w:color w:val="auto"/>
              </w:rPr>
              <w:t>155</w:t>
            </w: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44" w:right="319" w:bottom="1440" w:gutter="0" w:footer="0" w:header="0"/>
        </w:sectPr>
      </w:pPr>
    </w:p>
    <w:bookmarkStart w:id="155" w:name="page156"/>
    <w:bookmarkEnd w:id="155"/>
    <w:p>
      <w:pPr>
        <w:jc w:val="both"/>
        <w:spacing w:after="0" w:line="276" w:lineRule="auto"/>
        <w:rPr>
          <w:sz w:val="20"/>
          <w:szCs w:val="20"/>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the Company will not realize the benefits of these deductible differences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the following federal net operating loss carryforward and research activities credits as of December 31, 2020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w w:val="92"/>
              </w:rPr>
              <w:t>Net Operating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40"/>
              <w:spacing w:after="0"/>
              <w:rPr>
                <w:sz w:val="20"/>
                <w:szCs w:val="20"/>
                <w:color w:val="auto"/>
              </w:rPr>
            </w:pPr>
            <w:r>
              <w:rPr>
                <w:rFonts w:ascii="Arial" w:cs="Arial" w:eastAsia="Arial" w:hAnsi="Arial"/>
                <w:sz w:val="16"/>
                <w:szCs w:val="16"/>
                <w:b w:val="1"/>
                <w:bCs w:val="1"/>
                <w:color w:val="auto"/>
              </w:rPr>
              <w:t>Research</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8"/>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Incurred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Loss CF</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4"/>
              </w:rPr>
              <w:t>Activities Cr.</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Expiration</w:t>
            </w:r>
          </w:p>
        </w:tc>
      </w:tr>
      <w:tr>
        <w:trPr>
          <w:trHeight w:val="18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191"/>
        </w:trPr>
        <w:tc>
          <w:tcPr>
            <w:tcW w:w="4960" w:type="dxa"/>
            <w:vAlign w:val="bottom"/>
          </w:tcPr>
          <w:p>
            <w:pPr>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2028</w:t>
            </w:r>
          </w:p>
        </w:tc>
      </w:tr>
      <w:tr>
        <w:trPr>
          <w:trHeight w:val="19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2029</w:t>
            </w:r>
          </w:p>
        </w:tc>
      </w:tr>
      <w:tr>
        <w:trPr>
          <w:trHeight w:val="191"/>
        </w:trPr>
        <w:tc>
          <w:tcPr>
            <w:tcW w:w="4960" w:type="dxa"/>
            <w:vAlign w:val="bottom"/>
          </w:tcPr>
          <w:p>
            <w:pPr>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3,423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2030</w:t>
            </w:r>
          </w:p>
        </w:tc>
      </w:tr>
      <w:tr>
        <w:trPr>
          <w:trHeight w:val="19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9,929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2031</w:t>
            </w:r>
          </w:p>
        </w:tc>
      </w:tr>
      <w:tr>
        <w:trPr>
          <w:trHeight w:val="191"/>
        </w:trPr>
        <w:tc>
          <w:tcPr>
            <w:tcW w:w="4960" w:type="dxa"/>
            <w:vAlign w:val="bottom"/>
          </w:tcPr>
          <w:p>
            <w:pPr>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2032</w:t>
            </w:r>
          </w:p>
        </w:tc>
      </w:tr>
      <w:tr>
        <w:trPr>
          <w:trHeight w:val="19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191"/>
        </w:trPr>
        <w:tc>
          <w:tcPr>
            <w:tcW w:w="4960" w:type="dxa"/>
            <w:vAlign w:val="bottom"/>
          </w:tcPr>
          <w:p>
            <w:pPr>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15,897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2034</w:t>
            </w:r>
          </w:p>
        </w:tc>
      </w:tr>
      <w:tr>
        <w:trPr>
          <w:trHeight w:val="19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23,496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2035</w:t>
            </w:r>
          </w:p>
        </w:tc>
      </w:tr>
      <w:tr>
        <w:trPr>
          <w:trHeight w:val="191"/>
        </w:trPr>
        <w:tc>
          <w:tcPr>
            <w:tcW w:w="4960" w:type="dxa"/>
            <w:vAlign w:val="bottom"/>
          </w:tcPr>
          <w:p>
            <w:pPr>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41,580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745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2036</w:t>
            </w:r>
          </w:p>
        </w:tc>
      </w:tr>
      <w:tr>
        <w:trPr>
          <w:trHeight w:val="19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34,776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2037</w:t>
            </w:r>
          </w:p>
        </w:tc>
      </w:tr>
      <w:tr>
        <w:trPr>
          <w:trHeight w:val="191"/>
        </w:trPr>
        <w:tc>
          <w:tcPr>
            <w:tcW w:w="4960" w:type="dxa"/>
            <w:vAlign w:val="bottom"/>
          </w:tcPr>
          <w:p>
            <w:pPr>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56,099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Indefinite</w:t>
            </w:r>
          </w:p>
        </w:tc>
      </w:tr>
      <w:tr>
        <w:trPr>
          <w:trHeight w:val="19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Indefinite</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8,810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Indefinite</w:t>
            </w:r>
          </w:p>
        </w:tc>
      </w:tr>
      <w:tr>
        <w:trPr>
          <w:trHeight w:val="203"/>
        </w:trPr>
        <w:tc>
          <w:tcPr>
            <w:tcW w:w="49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6,411</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Company also has certain state net operating loss carryforwards totaling $211.3 million, $145.4 million of which, if not utilized, will begin to expire in 2027 and $65.9 million of which have no expiration date. Due to potential ownership changes that may have occurred or would occur in the future, Internal Revenue Code Section 382 may place additional limitations on the Company’s ability to utilize the net operating loss carryforward.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ASC 740-10, </w:t>
      </w:r>
      <w:r>
        <w:rPr>
          <w:rFonts w:ascii="Arial" w:cs="Arial" w:eastAsia="Arial" w:hAnsi="Arial"/>
          <w:sz w:val="14"/>
          <w:szCs w:val="14"/>
          <w:i w:val="1"/>
          <w:iCs w:val="1"/>
          <w:color w:val="auto"/>
        </w:rPr>
        <w:t>Accounting for Uncertainty in Income Taxes</w:t>
      </w:r>
      <w:r>
        <w:rPr>
          <w:rFonts w:ascii="Arial" w:cs="Arial" w:eastAsia="Arial" w:hAnsi="Arial"/>
          <w:sz w:val="14"/>
          <w:szCs w:val="14"/>
          <w:color w:val="auto"/>
        </w:rPr>
        <w:t>, uses the term “more likely than not” to evaluate whether or not a tax position will be sustained upon examination.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identified any tax positions that do not meet the more likely than not threshold.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March 27, 2020, the CARES Act was enacted into law in response to the COVID-19 pandemic. The Company has evaluated the various income and payroll tax provisions and expects little or no impact to income tax expense.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56" w:name="page157"/>
    <w:bookmarkEnd w:id="156"/>
    <w:p>
      <w:pPr>
        <w:ind w:left="684" w:hanging="684"/>
        <w:spacing w:after="0"/>
        <w:tabs>
          <w:tab w:leader="none" w:pos="684"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Share</w:t>
      </w:r>
    </w:p>
    <w:p>
      <w:pPr>
        <w:spacing w:after="0" w:line="202" w:lineRule="exact"/>
        <w:rPr>
          <w:sz w:val="20"/>
          <w:szCs w:val="20"/>
          <w:color w:val="auto"/>
        </w:rPr>
      </w:pPr>
    </w:p>
    <w:p>
      <w:pPr>
        <w:jc w:val="both"/>
        <w:ind w:left="4"/>
        <w:spacing w:after="0" w:line="271" w:lineRule="auto"/>
        <w:rPr>
          <w:sz w:val="20"/>
          <w:szCs w:val="20"/>
          <w:color w:val="auto"/>
        </w:rPr>
      </w:pPr>
      <w:r>
        <w:rPr>
          <w:rFonts w:ascii="Arial" w:cs="Arial" w:eastAsia="Arial" w:hAnsi="Arial"/>
          <w:sz w:val="15"/>
          <w:szCs w:val="15"/>
          <w:color w:val="auto"/>
        </w:rPr>
        <w:t>Under the two-class method, for periods with net income, basic net income per share of common stock is computed by dividing the net income attributable to shares of common stock by the weighted average number of shares of common stock outstanding during the period. Net income attributable to shares of common stock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loss per share of common stock is computed under the two-class method by using the weighted average number of shares of common stock outstanding plus the potential dilutive effects of stock options and warrants. In addition, the Company analyzes the potential dilutive effect of the outstanding convertible securities under the if-converted method when calculating diluted loss per share of common stock in which it is assumed that the outstanding convertible securities convert into common stock at the beginning of the period or date of issuance, if the convertible security was issued during the period. The Company reports the more dilutive of the approaches (two-class or if-converted) as its diluted net loss per share of common stock during the period.</w:t>
      </w:r>
    </w:p>
    <w:p>
      <w:pPr>
        <w:spacing w:after="0" w:line="15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The following table summarizes the computation of basic and diluted net loss and net loss per share of common stock of the Company (in thousands, except share and per share amounts):</w:t>
      </w:r>
    </w:p>
    <w:p>
      <w:pPr>
        <w:spacing w:after="0" w:line="148" w:lineRule="exact"/>
        <w:rPr>
          <w:sz w:val="20"/>
          <w:szCs w:val="20"/>
          <w:color w:val="auto"/>
        </w:rPr>
      </w:pPr>
    </w:p>
    <w:tbl>
      <w:tblPr>
        <w:tblLayout w:type="fixed"/>
        <w:tblInd w:w="1124"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6"/>
                <w:szCs w:val="16"/>
                <w:b w:val="1"/>
                <w:bCs w:val="1"/>
                <w:color w:val="auto"/>
                <w:w w:val="96"/>
              </w:rPr>
              <w:t>Year Ended December 31,</w:t>
            </w:r>
          </w:p>
        </w:tc>
      </w:tr>
      <w:tr>
        <w:trPr>
          <w:trHeight w:val="183"/>
        </w:trPr>
        <w:tc>
          <w:tcPr>
            <w:tcW w:w="6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2019</w:t>
            </w: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loss - basic and diluted</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(24,522)</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Weighted average number of shares of common stock - basic and diluted</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3,980,975</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1,853,397</w:t>
            </w: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 basic and diluted</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Diluted net loss per share of common stock is the same as basic net loss per share of common stock for the years ended December 31, 2020 and 2019 because the effects of potentially dilutive items were anti-dilutive for the respective periods. The following securities, presented on a common stock equivalent basis, have been excluded from the calculation of weighted average number of shares of common stock outstanding because their effect is anti-dilutive:</w:t>
      </w:r>
    </w:p>
    <w:p>
      <w:pPr>
        <w:spacing w:after="0" w:line="158" w:lineRule="exact"/>
        <w:rPr>
          <w:sz w:val="20"/>
          <w:szCs w:val="20"/>
          <w:color w:val="auto"/>
        </w:rPr>
      </w:pPr>
    </w:p>
    <w:tbl>
      <w:tblPr>
        <w:tblLayout w:type="fixed"/>
        <w:tblInd w:w="1124"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18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12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Deerfield Convertible Note</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81,101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75,850</w:t>
            </w:r>
          </w:p>
        </w:tc>
        <w:tc>
          <w:tcPr>
            <w:tcW w:w="0" w:type="dxa"/>
            <w:vAlign w:val="bottom"/>
          </w:tcPr>
          <w:p>
            <w:pPr>
              <w:spacing w:after="0"/>
              <w:rPr>
                <w:sz w:val="1"/>
                <w:szCs w:val="1"/>
                <w:color w:val="auto"/>
              </w:rPr>
            </w:pP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2021 Notes</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10,958</w:t>
            </w:r>
          </w:p>
        </w:tc>
        <w:tc>
          <w:tcPr>
            <w:tcW w:w="0" w:type="dxa"/>
            <w:vAlign w:val="bottom"/>
          </w:tcPr>
          <w:p>
            <w:pPr>
              <w:spacing w:after="0"/>
              <w:rPr>
                <w:sz w:val="1"/>
                <w:szCs w:val="1"/>
                <w:color w:val="auto"/>
              </w:rPr>
            </w:pPr>
          </w:p>
        </w:tc>
      </w:tr>
      <w:tr>
        <w:trPr>
          <w:trHeight w:val="191"/>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Conversion of January 2020 Note</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34,615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2019 Notes*</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625,747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1,851,609</w:t>
            </w:r>
          </w:p>
        </w:tc>
        <w:tc>
          <w:tcPr>
            <w:tcW w:w="0" w:type="dxa"/>
            <w:vAlign w:val="bottom"/>
          </w:tcPr>
          <w:p>
            <w:pPr>
              <w:spacing w:after="0"/>
              <w:rPr>
                <w:sz w:val="1"/>
                <w:szCs w:val="1"/>
                <w:color w:val="auto"/>
              </w:rPr>
            </w:pPr>
          </w:p>
        </w:tc>
      </w:tr>
      <w:tr>
        <w:trPr>
          <w:trHeight w:val="191"/>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Awards under equity incentive plans</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355,785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Common stock warrants</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151,442</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151,442</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w w:val="93"/>
              </w:rPr>
              <w:t>Total securities excluded from the calculation of weighted average number of shares of common</w:t>
            </w:r>
          </w:p>
        </w:tc>
        <w:tc>
          <w:tcPr>
            <w:tcW w:w="12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1,248,690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2,414,332</w:t>
            </w:r>
          </w:p>
        </w:tc>
        <w:tc>
          <w:tcPr>
            <w:tcW w:w="0" w:type="dxa"/>
            <w:vAlign w:val="bottom"/>
          </w:tcPr>
          <w:p>
            <w:pPr>
              <w:spacing w:after="0"/>
              <w:rPr>
                <w:sz w:val="1"/>
                <w:szCs w:val="1"/>
                <w:color w:val="auto"/>
              </w:rPr>
            </w:pPr>
          </w:p>
        </w:tc>
      </w:tr>
      <w:tr>
        <w:trPr>
          <w:trHeight w:val="208"/>
        </w:trPr>
        <w:tc>
          <w:tcPr>
            <w:tcW w:w="6400" w:type="dxa"/>
            <w:vAlign w:val="bottom"/>
            <w:tcBorders>
              <w:bottom w:val="single" w:sz="8" w:color="CCEEFF"/>
            </w:tcBorders>
            <w:shd w:val="clear" w:color="auto" w:fill="CCEEFF"/>
          </w:tcPr>
          <w:p>
            <w:pPr>
              <w:spacing w:after="0" w:line="168" w:lineRule="exact"/>
              <w:rPr>
                <w:sz w:val="20"/>
                <w:szCs w:val="20"/>
                <w:color w:val="auto"/>
              </w:rPr>
            </w:pPr>
            <w:r>
              <w:rPr>
                <w:rFonts w:ascii="Arial" w:cs="Arial" w:eastAsia="Arial" w:hAnsi="Arial"/>
                <w:sz w:val="16"/>
                <w:szCs w:val="16"/>
                <w:color w:val="auto"/>
              </w:rPr>
              <w:t>stock outstanding</w:t>
            </w: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24"/>
        <w:spacing w:after="0"/>
        <w:rPr>
          <w:sz w:val="20"/>
          <w:szCs w:val="20"/>
          <w:color w:val="auto"/>
        </w:rPr>
      </w:pPr>
      <w:r>
        <w:rPr>
          <w:rFonts w:ascii="Arial" w:cs="Arial" w:eastAsia="Arial" w:hAnsi="Arial"/>
          <w:sz w:val="16"/>
          <w:szCs w:val="16"/>
          <w:color w:val="auto"/>
        </w:rPr>
        <w:t>Balance as of December 31, 2019 is inclusive of 1,652,437 shares of Common Stock issuable (i) in exchange of the Deerfield Optional</w:t>
      </w:r>
    </w:p>
    <w:p>
      <w:pPr>
        <w:spacing w:after="0" w:line="20" w:lineRule="exact"/>
        <w:rPr>
          <w:sz w:val="20"/>
          <w:szCs w:val="20"/>
          <w:color w:val="auto"/>
        </w:rPr>
      </w:pPr>
    </w:p>
    <w:p>
      <w:pPr>
        <w:ind w:left="1324" w:right="1140" w:hanging="199"/>
        <w:spacing w:after="0" w:line="258" w:lineRule="auto"/>
        <w:tabs>
          <w:tab w:leader="none" w:pos="13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Conversion Feature, or (ii) upon conversion of the Series B-2 Preferred Stock issuable in exchange of the Deerfield Optional Conversion Feature. As of December 31, 2020, the Deerfield Optional Conversion Feature has been utilized in full.</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57" w:name="page158"/>
    <w:bookmarkEnd w:id="157"/>
    <w:p>
      <w:pPr>
        <w:ind w:left="684" w:hanging="684"/>
        <w:spacing w:after="0"/>
        <w:tabs>
          <w:tab w:leader="none" w:pos="684"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Expense</w:t>
      </w:r>
    </w:p>
    <w:p>
      <w:pPr>
        <w:spacing w:after="0" w:line="202"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In February 2020, the Company eliminated the chief business officer role and Gordon K. Johnson separated from the Company. In connection with his separation, Mr. Johnson is entitled to severance benefits as documented in his Amended and Restated Employment Agreement entered into in June 2015. The severance benefits consist of personnel and other related charges of approximately $0.4 million and stock compensation expense of approximately $0.4 million related to the acceleration of vesting on unvested shares subject to certain stock options. These severance benefits are presented as severance expense in the statements of operations for the year ended December 31, 2020. As of December 31, 2020, the Company had accrued severance expense recorded within accounts payable and accrued expenses in the amount of $0.1 million. As of and for the year ended December 31, 2019, there was no accrued severance or severance expense, respectively.</w:t>
      </w:r>
    </w:p>
    <w:p>
      <w:pPr>
        <w:spacing w:after="0" w:line="368" w:lineRule="exact"/>
        <w:rPr>
          <w:sz w:val="20"/>
          <w:szCs w:val="20"/>
          <w:color w:val="auto"/>
        </w:rPr>
      </w:pPr>
    </w:p>
    <w:p>
      <w:pPr>
        <w:ind w:left="684" w:hanging="684"/>
        <w:spacing w:after="0"/>
        <w:tabs>
          <w:tab w:leader="none" w:pos="684"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w:t>
      </w:r>
    </w:p>
    <w:p>
      <w:pPr>
        <w:spacing w:after="0" w:line="20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$145,000 and $133,000 for the years ended December 31, 2020 and 2019, respectively.</w:t>
      </w:r>
    </w:p>
    <w:p>
      <w:pPr>
        <w:spacing w:after="0" w:line="16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The Company has a discretionary profit sharing plan (the “Profit Sharing Plan”) that covers all employees. Employees become eligible participants in the Profit Sharing Plan once they have provided three years of service to the Company. The Company made no contributions to the Profit Sharing Plan in 2020 or 2019.</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58" w:name="page159"/>
    <w:bookmarkEnd w:id="158"/>
    <w:p>
      <w:pPr>
        <w:ind w:left="684" w:hanging="684"/>
        <w:spacing w:after="0"/>
        <w:tabs>
          <w:tab w:leader="none" w:pos="684"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8"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Underwriting Agreement</w:t>
      </w:r>
    </w:p>
    <w:p>
      <w:pPr>
        <w:spacing w:after="0" w:line="202"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is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56"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On January 8, 2021, the Underwriter exercised its over-allotment option, in part, for warrants to purchase 754,035 shares of the Company’s common stock. Further on February 1, 2021, the Underwriter again exercised its over-allotment option to purchase 374,035 shares of common stock. On February 3, 2021, we closed the underwriter's partial exercise of its over-allotment option.</w:t>
      </w:r>
    </w:p>
    <w:p>
      <w:pPr>
        <w:spacing w:after="0" w:line="16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Pre-Funded Warrants</w:t>
      </w:r>
    </w:p>
    <w:p>
      <w:pPr>
        <w:spacing w:after="0" w:line="20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On January 12, 2021, pursuant to the terms of the Underwriting Agreement, the Company issued pre-funded warrants to purchase 926,844 shares of the Company’s common stock to specified investors in the Public Offering.</w:t>
      </w:r>
    </w:p>
    <w:p>
      <w:pPr>
        <w:spacing w:after="0" w:line="152"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Duration and Exercise Price</w:t>
      </w:r>
    </w:p>
    <w:p>
      <w:pPr>
        <w:spacing w:after="0" w:line="198" w:lineRule="exact"/>
        <w:rPr>
          <w:sz w:val="20"/>
          <w:szCs w:val="20"/>
          <w:color w:val="auto"/>
        </w:rPr>
      </w:pPr>
    </w:p>
    <w:p>
      <w:pPr>
        <w:jc w:val="both"/>
        <w:ind w:left="144"/>
        <w:spacing w:after="0" w:line="262" w:lineRule="auto"/>
        <w:rPr>
          <w:sz w:val="20"/>
          <w:szCs w:val="20"/>
          <w:color w:val="auto"/>
        </w:rPr>
      </w:pPr>
      <w:r>
        <w:rPr>
          <w:rFonts w:ascii="Arial" w:cs="Arial" w:eastAsia="Arial" w:hAnsi="Arial"/>
          <w:sz w:val="16"/>
          <w:szCs w:val="16"/>
          <w:color w:val="auto"/>
        </w:rPr>
        <w:t>Each pre-funded warrant has an initial exercise price per share equal to $0.0001. The pre-funded warrants will be immediately exercisable and will not expire prior to exercise. The exercise price and number of shares of common stock issuable upon exercise is subject to appropriate adjustment in the event of stock dividends, stock splits, reorganizations or similar events affecting the Company’s common stock.</w:t>
      </w:r>
    </w:p>
    <w:p>
      <w:pPr>
        <w:spacing w:after="0" w:line="162"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Exercisability</w:t>
      </w:r>
    </w:p>
    <w:p>
      <w:pPr>
        <w:spacing w:after="0" w:line="198" w:lineRule="exact"/>
        <w:rPr>
          <w:sz w:val="20"/>
          <w:szCs w:val="20"/>
          <w:color w:val="auto"/>
        </w:rPr>
      </w:pPr>
    </w:p>
    <w:p>
      <w:pPr>
        <w:jc w:val="both"/>
        <w:ind w:left="144"/>
        <w:spacing w:after="0" w:line="253" w:lineRule="auto"/>
        <w:rPr>
          <w:sz w:val="20"/>
          <w:szCs w:val="20"/>
          <w:color w:val="auto"/>
        </w:rPr>
      </w:pPr>
      <w:r>
        <w:rPr>
          <w:rFonts w:ascii="Arial" w:cs="Arial" w:eastAsia="Arial" w:hAnsi="Arial"/>
          <w:sz w:val="16"/>
          <w:szCs w:val="16"/>
          <w:color w:val="auto"/>
        </w:rPr>
        <w:t>The pre-funded warrants are exercisable, at the option of each holder, in whole or in part, by delivering to the Company a duly executed exercise notice accompanied by payment in full for the number of shares of common stock purchased upon such exercise (except in the case of a cashless exercise as discussed below). A holder (together with its affiliates) may not exercise any portion of the pre-funded warrant to the extent that the holder would own more than 4.99% of the Company’s outstanding common stock immediately after exercise, except that upon at least 61 days’ prior notice from the holder to the Company, the holder may increase the amount of beneficial ownership of outstanding stock after exercising the holder’s pre-funded warrants up to 9.99% of the number of shares of the Company’s common stock outstanding immediately after giving effect to the exercise, as such percentage ownership is determined in accordance with the terms of the pre-funded warrants and Delaware law. Purchasers of pre-funded warrants may also elect prior to the issuance of the pre-funded warrants to have the initial exercise limitation set at 9.99% of the Company’s outstanding common stock.</w:t>
      </w:r>
    </w:p>
    <w:p>
      <w:pPr>
        <w:spacing w:after="0" w:line="169"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Cashless Exercise</w:t>
      </w:r>
    </w:p>
    <w:p>
      <w:pPr>
        <w:spacing w:after="0" w:line="198" w:lineRule="exact"/>
        <w:rPr>
          <w:sz w:val="20"/>
          <w:szCs w:val="20"/>
          <w:color w:val="auto"/>
        </w:rPr>
      </w:pPr>
    </w:p>
    <w:p>
      <w:pPr>
        <w:jc w:val="both"/>
        <w:ind w:left="144" w:right="20"/>
        <w:spacing w:after="0" w:line="262" w:lineRule="auto"/>
        <w:rPr>
          <w:sz w:val="20"/>
          <w:szCs w:val="20"/>
          <w:color w:val="auto"/>
        </w:rPr>
      </w:pPr>
      <w:r>
        <w:rPr>
          <w:rFonts w:ascii="Arial" w:cs="Arial" w:eastAsia="Arial" w:hAnsi="Arial"/>
          <w:sz w:val="16"/>
          <w:szCs w:val="16"/>
          <w:color w:val="auto"/>
        </w:rPr>
        <w:t>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62"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Rights as a Stockholder</w:t>
      </w:r>
    </w:p>
    <w:p>
      <w:pPr>
        <w:spacing w:after="0" w:line="198" w:lineRule="exact"/>
        <w:rPr>
          <w:sz w:val="20"/>
          <w:szCs w:val="20"/>
          <w:color w:val="auto"/>
        </w:rPr>
      </w:pPr>
    </w:p>
    <w:p>
      <w:pPr>
        <w:jc w:val="both"/>
        <w:ind w:left="144"/>
        <w:spacing w:after="0" w:line="258" w:lineRule="auto"/>
        <w:rPr>
          <w:sz w:val="20"/>
          <w:szCs w:val="20"/>
          <w:color w:val="auto"/>
        </w:rPr>
      </w:pPr>
      <w:r>
        <w:rPr>
          <w:rFonts w:ascii="Arial" w:cs="Arial" w:eastAsia="Arial" w:hAnsi="Arial"/>
          <w:sz w:val="16"/>
          <w:szCs w:val="16"/>
          <w:color w:val="auto"/>
        </w:rPr>
        <w:t>Except as otherwise provided in the pre-funded warrants or by virtue of such holder’s ownership of shares of the Company’s common stock, the holders of the pre-funded warrants do not have the rights or privileges of holders of common stock with respect to the shares of common stock underlying the pre-funded warrants, including any voting rights, until they exercise their pre-funded warrants. The pre-funded warrants provide that holders have the right to participate in distributions or dividends paid on the Company’s common stock.</w:t>
      </w:r>
    </w:p>
    <w:p>
      <w:pPr>
        <w:spacing w:after="0" w:line="165" w:lineRule="exact"/>
        <w:rPr>
          <w:sz w:val="20"/>
          <w:szCs w:val="20"/>
          <w:color w:val="auto"/>
        </w:rPr>
      </w:pPr>
    </w:p>
    <w:p>
      <w:pPr>
        <w:ind w:left="144"/>
        <w:spacing w:after="0"/>
        <w:rPr>
          <w:sz w:val="20"/>
          <w:szCs w:val="20"/>
          <w:color w:val="auto"/>
        </w:rPr>
      </w:pPr>
      <w:r>
        <w:rPr>
          <w:rFonts w:ascii="Arial" w:cs="Arial" w:eastAsia="Arial" w:hAnsi="Arial"/>
          <w:sz w:val="16"/>
          <w:szCs w:val="16"/>
          <w:b w:val="1"/>
          <w:bCs w:val="1"/>
          <w:i w:val="1"/>
          <w:iCs w:val="1"/>
          <w:color w:val="auto"/>
        </w:rPr>
        <w:t>Fundamental Transaction</w:t>
      </w:r>
    </w:p>
    <w:p>
      <w:pPr>
        <w:spacing w:after="0" w:line="198" w:lineRule="exact"/>
        <w:rPr>
          <w:sz w:val="20"/>
          <w:szCs w:val="20"/>
          <w:color w:val="auto"/>
        </w:rPr>
      </w:pPr>
    </w:p>
    <w:p>
      <w:pPr>
        <w:jc w:val="both"/>
        <w:ind w:left="144"/>
        <w:spacing w:after="0" w:line="254" w:lineRule="auto"/>
        <w:rPr>
          <w:sz w:val="20"/>
          <w:szCs w:val="20"/>
          <w:color w:val="auto"/>
        </w:rPr>
      </w:pPr>
      <w:r>
        <w:rPr>
          <w:rFonts w:ascii="Arial" w:cs="Arial" w:eastAsia="Arial" w:hAnsi="Arial"/>
          <w:sz w:val="16"/>
          <w:szCs w:val="16"/>
          <w:color w:val="auto"/>
        </w:rPr>
        <w:t>In the event of a fundamental transaction, as described in the pre-funded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March 11, 2021, all pre-funded warrants have been exercised for 926,841 shares of common stock and gross proceeds of approximately $72.</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44" w:right="31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b w:val="1"/>
          <w:bCs w:val="1"/>
          <w:color w:val="auto"/>
        </w:rPr>
        <w:t>Warrants to Purchase Common Stock</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January 12, 2021, pursuant to the terms of the Underwriting Agreement and December 2020 Exchange Agreement (as defined below), the Company issued warrants to purchase 12,078,361 shares of the Company’s common stock (collectively, the “Warrants”) in the Public Offering and in connection with the transactions contemplated under the December 2020 Exchange Agreement.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Duration and Exercise Price</w:t>
      </w:r>
    </w:p>
    <w:p>
      <w:pPr>
        <w:spacing w:after="0" w:line="198" w:lineRule="exact"/>
        <w:rPr>
          <w:sz w:val="20"/>
          <w:szCs w:val="20"/>
          <w:color w:val="auto"/>
        </w:rPr>
      </w:pPr>
    </w:p>
    <w:p>
      <w:pPr>
        <w:jc w:val="both"/>
        <w:ind w:left="140" w:right="20"/>
        <w:spacing w:after="0" w:line="258" w:lineRule="auto"/>
        <w:rPr>
          <w:sz w:val="20"/>
          <w:szCs w:val="20"/>
          <w:color w:val="auto"/>
        </w:rPr>
      </w:pPr>
      <w:r>
        <w:rPr>
          <w:rFonts w:ascii="Arial" w:cs="Arial" w:eastAsia="Arial" w:hAnsi="Arial"/>
          <w:sz w:val="16"/>
          <w:szCs w:val="16"/>
          <w:color w:val="auto"/>
        </w:rPr>
        <w:t>The Warrants are exercisable from and after the date of their issuance and expire on the fifth anniversary of such date, at an exercise price per share of common stock equal to $6.50 per share. The holder of a Warrant will not be deemed a holder of the underlying common stock until the Warrant is exercised. No fractional shares of common stock will be issued in connection with the exercise of Warrant. Instead, for any such fractional share that would have otherwise been issued upon exercise of a Warrant, the Company will round such fraction up to the next whole share.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Exercisability</w:t>
      </w:r>
    </w:p>
    <w:p>
      <w:pPr>
        <w:spacing w:after="0" w:line="198" w:lineRule="exact"/>
        <w:rPr>
          <w:sz w:val="20"/>
          <w:szCs w:val="20"/>
          <w:color w:val="auto"/>
        </w:rPr>
      </w:pPr>
    </w:p>
    <w:p>
      <w:pPr>
        <w:jc w:val="both"/>
        <w:ind w:left="140" w:right="20"/>
        <w:spacing w:after="0" w:line="255" w:lineRule="auto"/>
        <w:rPr>
          <w:sz w:val="20"/>
          <w:szCs w:val="20"/>
          <w:color w:val="auto"/>
        </w:rPr>
      </w:pPr>
      <w:r>
        <w:rPr>
          <w:rFonts w:ascii="Arial" w:cs="Arial" w:eastAsia="Arial" w:hAnsi="Arial"/>
          <w:sz w:val="16"/>
          <w:szCs w:val="16"/>
          <w:color w:val="auto"/>
        </w:rPr>
        <w:t>The Warrants will be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Warrants (except in the case of a cashless exercise as discussed below). A holder (together with its affiliates) may not exercise any portion of the Warrant to the extent that the holder and its affiliates and any other person or entities with which such holder would constitute a Section 13(d) “group” would own more than 4.985% of the Company’s outstanding common stock immediately after exercise.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Cashless Exercise</w:t>
      </w:r>
    </w:p>
    <w:p>
      <w:pPr>
        <w:spacing w:after="0" w:line="198" w:lineRule="exact"/>
        <w:rPr>
          <w:sz w:val="20"/>
          <w:szCs w:val="20"/>
          <w:color w:val="auto"/>
        </w:rPr>
      </w:pPr>
    </w:p>
    <w:p>
      <w:pPr>
        <w:jc w:val="both"/>
        <w:ind w:left="140" w:right="20"/>
        <w:spacing w:after="0" w:line="258" w:lineRule="auto"/>
        <w:rPr>
          <w:sz w:val="20"/>
          <w:szCs w:val="20"/>
          <w:color w:val="auto"/>
        </w:rPr>
      </w:pPr>
      <w:r>
        <w:rPr>
          <w:rFonts w:ascii="Arial" w:cs="Arial" w:eastAsia="Arial" w:hAnsi="Arial"/>
          <w:sz w:val="16"/>
          <w:szCs w:val="16"/>
          <w:color w:val="auto"/>
        </w:rPr>
        <w:t>If, at the time a holder exercises its Warrants, a registration statement registering the issuance of the shares of common stock underlying such Warrant under the Securities Act is not then effective or available for the issuance of such shares, then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Right as a Stockholder</w:t>
      </w:r>
    </w:p>
    <w:p>
      <w:pPr>
        <w:spacing w:after="0" w:line="198" w:lineRule="exact"/>
        <w:rPr>
          <w:sz w:val="20"/>
          <w:szCs w:val="20"/>
          <w:color w:val="auto"/>
        </w:rPr>
      </w:pPr>
    </w:p>
    <w:p>
      <w:pPr>
        <w:jc w:val="both"/>
        <w:ind w:left="140" w:right="20"/>
        <w:spacing w:after="0" w:line="287" w:lineRule="auto"/>
        <w:rPr>
          <w:sz w:val="20"/>
          <w:szCs w:val="20"/>
          <w:color w:val="auto"/>
        </w:rPr>
      </w:pPr>
      <w:r>
        <w:rPr>
          <w:rFonts w:ascii="Arial" w:cs="Arial" w:eastAsia="Arial" w:hAnsi="Arial"/>
          <w:sz w:val="15"/>
          <w:szCs w:val="15"/>
          <w:color w:val="auto"/>
        </w:rPr>
        <w:t>Except as otherwise provided in the Warrants or by virtue of such holder’s ownership of shares of the Company’s common stock, the holders of the Warrants do not have the rights or privileges of holders of common stock with respect to the shares of common stock underlying the Warrants, including any voting rights, until they exercise their Warrants. The Warrants provide that holders have the right to participate in distributions or dividends paid on the Company’s common stock.</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Fundamental Transaction</w:t>
      </w:r>
    </w:p>
    <w:p>
      <w:pPr>
        <w:spacing w:after="0" w:line="198" w:lineRule="exact"/>
        <w:rPr>
          <w:sz w:val="20"/>
          <w:szCs w:val="20"/>
          <w:color w:val="auto"/>
        </w:rPr>
      </w:pPr>
    </w:p>
    <w:p>
      <w:pPr>
        <w:jc w:val="both"/>
        <w:ind w:left="140"/>
        <w:spacing w:after="0" w:line="292" w:lineRule="auto"/>
        <w:rPr>
          <w:sz w:val="20"/>
          <w:szCs w:val="20"/>
          <w:color w:val="auto"/>
        </w:rPr>
      </w:pPr>
      <w:r>
        <w:rPr>
          <w:rFonts w:ascii="Arial" w:cs="Arial" w:eastAsia="Arial" w:hAnsi="Arial"/>
          <w:sz w:val="14"/>
          <w:szCs w:val="14"/>
          <w:color w:val="auto"/>
        </w:rPr>
        <w:t>In the event of a fundamental transaction, as described in the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which is approved by the Company’s board of directors, the holders of the warrants have the right to require the Company or a successor entity to redeem the Warrants for cash in the amount of the Black Scholes value of the unexercised portion of the Warrants on the date of the consummation of the fundamental transaction. In the event of a fundamental transaction which is not approved by the Company’s board of directors, the holders of the Warrants have the right to require the Company or a successor entity to redeem the Warrants in the amount of the Black Scholes value of the unexercised portion of the Warrants on the date of the consummation of the fundamental transaction payable in the form of consideration paid to the holders of common stock in such fundamental transaction.</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March 11, 2021, 3,057,395 Warrants have have been exercised for 2,626,418 shares of common stock and gross proceeds of approximately $14.3 million. These amounts are exclusive of the Warrants exercised as part of the Warrant Exercise Inducement transaction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Underwriter Warrant</w:t>
      </w:r>
    </w:p>
    <w:p>
      <w:pPr>
        <w:spacing w:after="0" w:line="202"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March 11, 2020, no Underwriter Warrants have been exercised.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b w:val="1"/>
          <w:bCs w:val="1"/>
          <w:u w:val="single" w:color="auto"/>
          <w:color w:val="auto"/>
        </w:rPr>
        <w:t>December 2020 Exchange Agreement Amendment</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On January 12, 2021, in connection with the transactions contemplated by the December 2020 Exchange Agreement, the Company entered into an Amendment to Senior Secured Convertible Notes and Amendment to Warrant (the “January 2021 Amendment”) with the Deerfield Holders. The January 2021 Amendment modifies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B-2 Preferred Stock</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Series B-2 Preferred Stock is convertible into an aggregate of 4,842,690 shares of the Company’s common stock at a conversion price equal to $6.4999.</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Amended and Restated Certificate of Designation of Preferences, Rights and Limitations of the Series B-2 Convertible Preferred Stock</w:t>
      </w:r>
    </w:p>
    <w:p>
      <w:pPr>
        <w:spacing w:after="0" w:line="198" w:lineRule="exact"/>
        <w:rPr>
          <w:sz w:val="20"/>
          <w:szCs w:val="20"/>
          <w:color w:val="auto"/>
        </w:rPr>
      </w:pPr>
    </w:p>
    <w:p>
      <w:pPr>
        <w:jc w:val="both"/>
        <w:ind w:left="140" w:right="20"/>
        <w:spacing w:after="0" w:line="287" w:lineRule="auto"/>
        <w:rPr>
          <w:sz w:val="20"/>
          <w:szCs w:val="20"/>
          <w:color w:val="auto"/>
        </w:rPr>
      </w:pPr>
      <w:r>
        <w:rPr>
          <w:rFonts w:ascii="Arial" w:cs="Arial" w:eastAsia="Arial" w:hAnsi="Arial"/>
          <w:sz w:val="15"/>
          <w:szCs w:val="15"/>
          <w:color w:val="auto"/>
        </w:rPr>
        <w:t>On January 11, 2021, as a condition to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Delaware, setting forth the preferences, rights and limitations of the Series B-2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Immediately following, the closing of the Public Offering, pursuant to the terms of the December 2020 Exchange Agreement, the Company:</w:t>
      </w:r>
    </w:p>
    <w:p>
      <w:pPr>
        <w:spacing w:after="0" w:line="198" w:lineRule="exact"/>
        <w:rPr>
          <w:sz w:val="20"/>
          <w:szCs w:val="20"/>
          <w:color w:val="auto"/>
        </w:rPr>
      </w:pPr>
    </w:p>
    <w:p>
      <w:pPr>
        <w:ind w:left="440" w:right="20" w:hanging="217"/>
        <w:spacing w:after="0" w:line="275"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Exchanged approximately $31.5 million (the "Exchange") of the outstanding principal and accrued interest on the Facility Notes for (i) the Series B-2 Preferred Stock and (ii) the Exchange Warrants; and</w:t>
      </w:r>
    </w:p>
    <w:p>
      <w:pPr>
        <w:spacing w:after="0" w:line="151" w:lineRule="exact"/>
        <w:rPr>
          <w:rFonts w:ascii="Arial" w:cs="Arial" w:eastAsia="Arial" w:hAnsi="Arial"/>
          <w:sz w:val="16"/>
          <w:szCs w:val="16"/>
          <w:color w:val="auto"/>
        </w:rPr>
      </w:pPr>
    </w:p>
    <w:p>
      <w:pPr>
        <w:ind w:left="440" w:right="20" w:hanging="217"/>
        <w:spacing w:after="0" w:line="275"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made a payment of approximately $30.3 million (the “Debt Payment”) in partial repayment of the remaining outstanding principal and accrued interest on the Facility Notes.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Immediately following the completion of the Exchange and Debt Payment, the aggregate balance of principal and accrued interest remaining outstanding under the Facility Notes was approximately $7.6 million.</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March 11, 2021, all shares of Series B-2 Preferred Stock have have been converted into 4,842,699 shares of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Listing on the Nasdaq Capital Market</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January 7, 2021, the Company’s common stock was approved for listing on The Nasdaq Capital Market. The Company’s common stock began trading on The Nasdaq Capital Market on January 8, 2021 under the ticker symbol “KMPH”.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b w:val="1"/>
          <w:bCs w:val="1"/>
          <w:u w:val="single" w:color="auto"/>
          <w:color w:val="auto"/>
        </w:rPr>
        <w:t>Warrant Exercise Inducement Letters and Issuance of Warrants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 January 26, 2021, the Company entered into warrant exercise inducement offer letters (“Inducement Letters”)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Inducement Warrants was $0.125 per share underlying each Inducement Warrant, and the Inducement Warrants have an exercise price of $6.36 per share. The Company received aggregate gross proceeds of approximately $44.0 million from the exercise of the Existing Warrants by the Exercising Holders and the sale of the Inducement Warrants. The Company engaged Roth as its exclusive placement agent in connection with these transactions and paid Roth a fee equal to 6% of gross proceeds from the exercise of the Existing Warrants by the Exercising Holders and the sale of the Inducement Warrants. As a result of this transaction the anti-dilution provisions contained with the Deerfield Warrant were triggered and the exercise price of the Deerfield Warrant was reduced from $93.60 per share to $46.25 per share.</w:t>
      </w:r>
    </w:p>
    <w:p>
      <w:pPr>
        <w:spacing w:after="0" w:line="16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also agreed to file a registration statement covering the resale of the shares of the Company’s common stock issued or issuable upon the exercise of the Inducement Warrants no later than 10 calendar days following the date of the Inducement Letters.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Inducement Warrant Terms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Duration and Exercise Price</w:t>
      </w:r>
    </w:p>
    <w:p>
      <w:pPr>
        <w:spacing w:after="0" w:line="198" w:lineRule="exact"/>
        <w:rPr>
          <w:sz w:val="20"/>
          <w:szCs w:val="20"/>
          <w:color w:val="auto"/>
        </w:rPr>
      </w:pPr>
    </w:p>
    <w:p>
      <w:pPr>
        <w:jc w:val="both"/>
        <w:ind w:left="140" w:right="20"/>
        <w:spacing w:after="0" w:line="280" w:lineRule="auto"/>
        <w:rPr>
          <w:sz w:val="20"/>
          <w:szCs w:val="20"/>
          <w:color w:val="auto"/>
        </w:rPr>
      </w:pPr>
      <w:r>
        <w:rPr>
          <w:rFonts w:ascii="Arial" w:cs="Arial" w:eastAsia="Arial" w:hAnsi="Arial"/>
          <w:sz w:val="15"/>
          <w:szCs w:val="15"/>
          <w:color w:val="auto"/>
        </w:rPr>
        <w:t>The Inducement Warrants are exercisable from and after the date of their issuance and expire on the fifth anniversary of such date, at an exercise price per share of common stock equal to $6.36 per share. The holder of an Inducement Warrant will not be deemed a holder of the underlying common stock until the Inducement Warrant is exercised. No fractional shares of common stock will be issued in connection with the exercise of the Inducement Warrants. Instead, for any such fractional share that would have otherwise been issued upon exercise of an Inducement Warrant, the Company will round such fraction up to the next whole share.</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Exercisability</w:t>
      </w:r>
    </w:p>
    <w:p>
      <w:pPr>
        <w:spacing w:after="0" w:line="198" w:lineRule="exact"/>
        <w:rPr>
          <w:sz w:val="20"/>
          <w:szCs w:val="20"/>
          <w:color w:val="auto"/>
        </w:rPr>
      </w:pPr>
    </w:p>
    <w:p>
      <w:pPr>
        <w:jc w:val="both"/>
        <w:ind w:left="140"/>
        <w:spacing w:after="0" w:line="301" w:lineRule="auto"/>
        <w:rPr>
          <w:sz w:val="20"/>
          <w:szCs w:val="20"/>
          <w:color w:val="auto"/>
        </w:rPr>
      </w:pPr>
      <w:r>
        <w:rPr>
          <w:rFonts w:ascii="Arial" w:cs="Arial" w:eastAsia="Arial" w:hAnsi="Arial"/>
          <w:sz w:val="14"/>
          <w:szCs w:val="14"/>
          <w:color w:val="auto"/>
        </w:rPr>
        <w:t>The Inducement Warrants will be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Inducement Warrants (except in the case of a cashless exercise as discussed below). A holder (together with its affiliates) may not exercise any portion of the Inducement Warrant to the extent that the holder and its affiliates and any other person or entities with which such holder would constitute a Section 13(d) “group” would own more than 4.99% (or, upon election by a holder prior to the issuance of its Inducement Warrants, 9.99%) of the Company’s outstanding common stock immediately after exercise.</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Cashless Exercise</w:t>
      </w:r>
    </w:p>
    <w:p>
      <w:pPr>
        <w:spacing w:after="0" w:line="198" w:lineRule="exact"/>
        <w:rPr>
          <w:sz w:val="20"/>
          <w:szCs w:val="20"/>
          <w:color w:val="auto"/>
        </w:rPr>
      </w:pPr>
    </w:p>
    <w:p>
      <w:pPr>
        <w:jc w:val="both"/>
        <w:ind w:left="140"/>
        <w:spacing w:after="0" w:line="280" w:lineRule="auto"/>
        <w:rPr>
          <w:sz w:val="20"/>
          <w:szCs w:val="20"/>
          <w:color w:val="auto"/>
        </w:rPr>
      </w:pPr>
      <w:r>
        <w:rPr>
          <w:rFonts w:ascii="Arial" w:cs="Arial" w:eastAsia="Arial" w:hAnsi="Arial"/>
          <w:sz w:val="15"/>
          <w:szCs w:val="15"/>
          <w:color w:val="auto"/>
        </w:rPr>
        <w:t>If, at the time a holder exercises its Inducement Warrants, a registration statement registering the issuance of the shares of common stock underlying such Inducement Warrant under the Securities Act is not then effective or available for the issuance of such shares, then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Inducement Warrants.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Right as a Stockholder</w:t>
      </w:r>
    </w:p>
    <w:p>
      <w:pPr>
        <w:spacing w:after="0" w:line="198"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color w:val="auto"/>
        </w:rPr>
        <w:t>Except as otherwise provided in the Inducement Warrants or by virtue of such holder’s ownership of shares of the Company’s common stock, the holders of the Inducement Warrants do not have the rights or privileges of holders of common stock with respect to the shares of common stock underlying the Inducement Warrants, including any voting rights, until they exercise their Inducement Warrants. The Inducement Warrants provide that holders have the right to participate in distributions or dividends paid on the Company’s common stock.</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Fundamental Transaction</w:t>
      </w:r>
    </w:p>
    <w:p>
      <w:pPr>
        <w:spacing w:after="0" w:line="198" w:lineRule="exact"/>
        <w:rPr>
          <w:sz w:val="20"/>
          <w:szCs w:val="20"/>
          <w:color w:val="auto"/>
        </w:rPr>
      </w:pPr>
    </w:p>
    <w:p>
      <w:pPr>
        <w:jc w:val="both"/>
        <w:ind w:left="140"/>
        <w:spacing w:after="0" w:line="270" w:lineRule="auto"/>
        <w:rPr>
          <w:sz w:val="20"/>
          <w:szCs w:val="20"/>
          <w:color w:val="auto"/>
        </w:rPr>
      </w:pPr>
      <w:r>
        <w:rPr>
          <w:rFonts w:ascii="Arial" w:cs="Arial" w:eastAsia="Arial" w:hAnsi="Arial"/>
          <w:sz w:val="15"/>
          <w:szCs w:val="15"/>
          <w:color w:val="auto"/>
        </w:rPr>
        <w:t>In the event of a fundamental transaction, as described in the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Inducement Warrants will be entitled to receive upon exercise of the Inducement Warrants the kind and amount of securities, cash or other property that the holders would have received had they exercised the Inducement Warrants immediately prior to such fundamental transaction. In addition, in the event of a fundamental transaction which is approved by the Company’s board of directors, the holders of the Inducement Warrants have the right to require the Company or a successor entity to redeem the Inducement Warrants for cash in the amount of the Black Scholes value of the unexercised portion of the Inducement Warrants on the date of the consummation of the fundamental transaction. In the event of a fundamental transaction which is not approved by the Company’s board of directors, the holders of the Inducement Warrants have the right to require the Company or a successor entity to redeem the Inducement Warrants in the amount of the Black Scholes value of the unexercised portion of the Warrants on the date of the consummation of the fundamental transaction payable in the form of consideration paid to the holders of common stock in such fundamental transaction.</w:t>
      </w:r>
    </w:p>
    <w:p>
      <w:pPr>
        <w:spacing w:after="0" w:line="160"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As of March 11, 2021, 1,676,921 Inducement Warrants have have been exercised for 1,676,921 shares of common stock and gross proceeds of approximately $10.7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b w:val="1"/>
          <w:bCs w:val="1"/>
          <w:u w:val="single" w:color="auto"/>
          <w:color w:val="auto"/>
        </w:rPr>
        <w:t>Payoff of Facility Agreement Notes and Termination of Facility Agreement</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February 8, 2021, the Company entered into a payoff letter with the Facility Agreement Note Holders, pursuant to which the Company agreed to pay off and thereby terminate the Facility Agreement.</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FDA Approval of the AZSTARYS NDA</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March 2, 2021, the Company announced that the FDA approved the NDA for AZSTARYS™ (serdexmethylphenidate and dexmethylphenidate capsules, for oral use, CII), a once-daily product for the treatment of ADHD in patients age six years and older. As a result of the FDA’s approval of the AZSTARYS NDA, the Company has earned a regulatory milestone payment as provided under the KP415 License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80" w:type="dxa"/>
            <w:vAlign w:val="bottom"/>
            <w:gridSpan w:val="16"/>
          </w:tcPr>
          <w:p>
            <w:pPr>
              <w:ind w:left="260"/>
              <w:spacing w:after="0"/>
              <w:rPr>
                <w:sz w:val="20"/>
                <w:szCs w:val="20"/>
                <w:color w:val="auto"/>
              </w:rPr>
            </w:pPr>
            <w:r>
              <w:rPr>
                <w:rFonts w:ascii="Arial" w:cs="Arial" w:eastAsia="Arial" w:hAnsi="Arial"/>
                <w:sz w:val="16"/>
                <w:szCs w:val="16"/>
                <w:b w:val="1"/>
                <w:bCs w:val="1"/>
                <w:color w:val="auto"/>
              </w:rPr>
              <w:t>EXHIBITS</w:t>
            </w:r>
          </w:p>
        </w:tc>
      </w:tr>
      <w:tr>
        <w:trPr>
          <w:trHeight w:val="382"/>
        </w:trPr>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Exhibit No.</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14"/>
          </w:tcPr>
          <w:p>
            <w:pPr>
              <w:spacing w:after="0"/>
              <w:rPr>
                <w:sz w:val="20"/>
                <w:szCs w:val="20"/>
                <w:color w:val="auto"/>
              </w:rPr>
            </w:pPr>
            <w:r>
              <w:rPr>
                <w:rFonts w:ascii="Arial" w:cs="Arial" w:eastAsia="Arial" w:hAnsi="Arial"/>
                <w:sz w:val="16"/>
                <w:szCs w:val="16"/>
                <w:b w:val="1"/>
                <w:bCs w:val="1"/>
                <w:color w:val="auto"/>
              </w:rPr>
              <w:t>Description</w:t>
            </w:r>
          </w:p>
        </w:tc>
      </w:tr>
      <w:tr>
        <w:trPr>
          <w:trHeight w:val="147"/>
        </w:trPr>
        <w:tc>
          <w:tcPr>
            <w:tcW w:w="980" w:type="dxa"/>
            <w:vAlign w:val="bottom"/>
          </w:tcPr>
          <w:p>
            <w:pPr>
              <w:jc w:val="center"/>
              <w:spacing w:after="0" w:line="147" w:lineRule="exact"/>
              <w:rPr>
                <w:sz w:val="20"/>
                <w:szCs w:val="20"/>
                <w:color w:val="auto"/>
              </w:rPr>
            </w:pPr>
            <w:r>
              <w:rPr>
                <w:rFonts w:ascii="Arial" w:cs="Arial" w:eastAsia="Arial" w:hAnsi="Arial"/>
                <w:sz w:val="11"/>
                <w:szCs w:val="11"/>
                <w:color w:val="auto"/>
              </w:rPr>
              <w:t>2.1</w:t>
            </w:r>
            <w:r>
              <w:rPr>
                <w:rFonts w:ascii="Arial" w:cs="Arial" w:eastAsia="Arial" w:hAnsi="Arial"/>
                <w:sz w:val="17"/>
                <w:szCs w:val="17"/>
                <w:color w:val="auto"/>
                <w:vertAlign w:val="superscript"/>
              </w:rPr>
              <w:t>+</w:t>
            </w:r>
          </w:p>
        </w:tc>
        <w:tc>
          <w:tcPr>
            <w:tcW w:w="180" w:type="dxa"/>
            <w:vAlign w:val="bottom"/>
          </w:tcPr>
          <w:p>
            <w:pPr>
              <w:spacing w:after="0"/>
              <w:rPr>
                <w:sz w:val="12"/>
                <w:szCs w:val="12"/>
                <w:color w:val="auto"/>
              </w:rPr>
            </w:pPr>
          </w:p>
        </w:tc>
        <w:tc>
          <w:tcPr>
            <w:tcW w:w="10100" w:type="dxa"/>
            <w:vAlign w:val="bottom"/>
            <w:gridSpan w:val="24"/>
          </w:tcPr>
          <w:p>
            <w:pPr>
              <w:spacing w:after="0" w:line="148" w:lineRule="exact"/>
              <w:rPr>
                <w:rFonts w:ascii="Arial" w:cs="Arial" w:eastAsia="Arial" w:hAnsi="Arial"/>
                <w:sz w:val="16"/>
                <w:szCs w:val="16"/>
                <w:color w:val="0000EE"/>
                <w:w w:val="91"/>
              </w:rPr>
            </w:pPr>
            <w:hyperlink r:id="rId175">
              <w:r>
                <w:rPr>
                  <w:rFonts w:ascii="Arial" w:cs="Arial" w:eastAsia="Arial" w:hAnsi="Arial"/>
                  <w:sz w:val="16"/>
                  <w:szCs w:val="16"/>
                  <w:color w:val="0000EE"/>
                  <w:w w:val="91"/>
                </w:rPr>
                <w:t>Asset Purchase Agreement, by and between Shire LLC and Travis C. Mickle, Ph.D. and the Registrant, dated as of March 21, 2012 (incorporated herein by</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tcBorders>
              <w:top w:val="single" w:sz="8" w:color="0000EE"/>
            </w:tcBorders>
            <w:gridSpan w:val="23"/>
          </w:tcPr>
          <w:p>
            <w:pPr>
              <w:spacing w:after="0"/>
              <w:rPr>
                <w:rFonts w:ascii="Arial" w:cs="Arial" w:eastAsia="Arial" w:hAnsi="Arial"/>
                <w:sz w:val="16"/>
                <w:szCs w:val="16"/>
                <w:u w:val="single" w:color="auto"/>
                <w:color w:val="0000EE"/>
                <w:w w:val="94"/>
              </w:rPr>
            </w:pPr>
            <w:hyperlink r:id="rId175">
              <w:r>
                <w:rPr>
                  <w:rFonts w:ascii="Arial" w:cs="Arial" w:eastAsia="Arial" w:hAnsi="Arial"/>
                  <w:sz w:val="16"/>
                  <w:szCs w:val="16"/>
                  <w:u w:val="single" w:color="auto"/>
                  <w:color w:val="0000EE"/>
                  <w:w w:val="94"/>
                </w:rPr>
                <w:t>reference to the Registrant’s Amendment No. 1 to Registration Statement on Form S-1/A (File No. 333-202660) as filed with the SEC on April 3, 2015).</w:t>
              </w:r>
            </w:hyperlink>
          </w:p>
        </w:tc>
        <w:tc>
          <w:tcPr>
            <w:tcW w:w="20" w:type="dxa"/>
            <w:vAlign w:val="bottom"/>
          </w:tcPr>
          <w:p>
            <w:pPr>
              <w:spacing w:after="0"/>
              <w:rPr>
                <w:sz w:val="16"/>
                <w:szCs w:val="16"/>
                <w:color w:val="auto"/>
              </w:rPr>
            </w:pPr>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3.1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1"/>
              </w:rPr>
            </w:pPr>
            <w:hyperlink r:id="rId176">
              <w:r>
                <w:rPr>
                  <w:rFonts w:ascii="Arial" w:cs="Arial" w:eastAsia="Arial" w:hAnsi="Arial"/>
                  <w:sz w:val="16"/>
                  <w:szCs w:val="16"/>
                  <w:color w:val="0000EE"/>
                  <w:w w:val="91"/>
                </w:rPr>
                <w:t>Amended and Restated Certificate of Incorporation of KemPharm, Inc. (incorporated herein by reference to the Registrant’s Current Report on Form 8-K as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76">
              <w:r>
                <w:rPr>
                  <w:rFonts w:ascii="Arial" w:cs="Arial" w:eastAsia="Arial" w:hAnsi="Arial"/>
                  <w:sz w:val="16"/>
                  <w:szCs w:val="16"/>
                  <w:color w:val="0000EE"/>
                </w:rPr>
                <w:t>filed with the SEC on April 21, 2015).</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3.1.1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177">
              <w:r>
                <w:rPr>
                  <w:rFonts w:ascii="Arial" w:cs="Arial" w:eastAsia="Arial" w:hAnsi="Arial"/>
                  <w:sz w:val="16"/>
                  <w:szCs w:val="16"/>
                  <w:color w:val="0000EE"/>
                  <w:w w:val="91"/>
                </w:rPr>
                <w:t>Certificate of Amendment of Amended and Restated Certificate of Incorporation of the Company, effective as of December 23, 2020 (incorporated herein by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77">
              <w:r>
                <w:rPr>
                  <w:rFonts w:ascii="Arial" w:cs="Arial" w:eastAsia="Arial" w:hAnsi="Arial"/>
                  <w:sz w:val="16"/>
                  <w:szCs w:val="16"/>
                  <w:color w:val="0000EE"/>
                </w:rPr>
                <w:t>reference to Registrant's Current Report on Form 8-K as filed with the SEC on December 23, 2020).</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3.1.2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5"/>
              </w:rPr>
            </w:pPr>
            <w:hyperlink r:id="rId178">
              <w:r>
                <w:rPr>
                  <w:rFonts w:ascii="Arial" w:cs="Arial" w:eastAsia="Arial" w:hAnsi="Arial"/>
                  <w:sz w:val="16"/>
                  <w:szCs w:val="16"/>
                  <w:color w:val="0000EE"/>
                  <w:w w:val="95"/>
                </w:rPr>
                <w:t>Certificate of Designation of Preferences, Rights and Limitations of Series B-1 Convertible Preferred Stock of KemPharm, Inc. (incorporated herein by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78">
              <w:r>
                <w:rPr>
                  <w:rFonts w:ascii="Arial" w:cs="Arial" w:eastAsia="Arial" w:hAnsi="Arial"/>
                  <w:sz w:val="16"/>
                  <w:szCs w:val="16"/>
                  <w:color w:val="0000EE"/>
                </w:rPr>
                <w:t>reference to the Registrant's Current Report on Form 8-K as filed with the SEC on September 4, 2019).</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3.1.3</w:t>
            </w: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w w:val="95"/>
              </w:rPr>
            </w:pPr>
            <w:hyperlink r:id="rId179">
              <w:r>
                <w:rPr>
                  <w:rFonts w:ascii="Arial" w:cs="Arial" w:eastAsia="Arial" w:hAnsi="Arial"/>
                  <w:sz w:val="16"/>
                  <w:szCs w:val="16"/>
                  <w:u w:val="single" w:color="auto"/>
                  <w:color w:val="0000EE"/>
                  <w:w w:val="95"/>
                </w:rPr>
                <w:t>Amended and Restated</w:t>
              </w:r>
              <w:r>
                <w:rPr>
                  <w:rFonts w:ascii="Arial" w:cs="Arial" w:eastAsia="Arial" w:hAnsi="Arial"/>
                  <w:sz w:val="16"/>
                  <w:szCs w:val="16"/>
                  <w:color w:val="0000EE"/>
                  <w:w w:val="95"/>
                </w:rPr>
                <w:t xml:space="preserve"> Certificate of Designation of Preferences, Rights and Limitations of Series B-2 Convertible Preferred Stock of KemPharm, Inc.</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0" w:type="dxa"/>
            <w:vAlign w:val="bottom"/>
            <w:tcBorders>
              <w:bottom w:val="single" w:sz="8" w:color="0000EE"/>
            </w:tcBorders>
            <w:gridSpan w:val="20"/>
          </w:tcPr>
          <w:p>
            <w:pPr>
              <w:spacing w:after="0" w:line="171" w:lineRule="exact"/>
              <w:rPr>
                <w:rFonts w:ascii="Arial" w:cs="Arial" w:eastAsia="Arial" w:hAnsi="Arial"/>
                <w:sz w:val="16"/>
                <w:szCs w:val="16"/>
                <w:color w:val="0000EE"/>
                <w:w w:val="90"/>
              </w:rPr>
            </w:pPr>
            <w:hyperlink r:id="rId179">
              <w:r>
                <w:rPr>
                  <w:rFonts w:ascii="Arial" w:cs="Arial" w:eastAsia="Arial" w:hAnsi="Arial"/>
                  <w:sz w:val="16"/>
                  <w:szCs w:val="16"/>
                  <w:color w:val="0000EE"/>
                  <w:w w:val="90"/>
                </w:rPr>
                <w:t>(incorporated herein by reference to the Registrant's Current Report on Form 8-K as filed with the SEC on January 13, 2021).</w:t>
              </w:r>
            </w:hyperlink>
          </w:p>
        </w:tc>
        <w:tc>
          <w:tcPr>
            <w:tcW w:w="2100" w:type="dxa"/>
            <w:vAlign w:val="bottom"/>
            <w:gridSpan w:val="4"/>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3.2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0"/>
              </w:rPr>
            </w:pPr>
            <w:hyperlink r:id="rId180">
              <w:r>
                <w:rPr>
                  <w:rFonts w:ascii="Arial" w:cs="Arial" w:eastAsia="Arial" w:hAnsi="Arial"/>
                  <w:sz w:val="16"/>
                  <w:szCs w:val="16"/>
                  <w:color w:val="0000EE"/>
                  <w:w w:val="90"/>
                </w:rPr>
                <w:t>Amended and Restated Bylaws, as currently in effect, of KemPharm, Inc. (incorporated herein by reference to the Registrant’s Current Report on Form 8-K as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Borders>
              <w:bottom w:val="single" w:sz="8" w:color="0000EE"/>
            </w:tcBorders>
            <w:gridSpan w:val="5"/>
          </w:tcPr>
          <w:p>
            <w:pPr>
              <w:spacing w:after="0" w:line="171" w:lineRule="exact"/>
              <w:rPr>
                <w:rFonts w:ascii="Arial" w:cs="Arial" w:eastAsia="Arial" w:hAnsi="Arial"/>
                <w:sz w:val="16"/>
                <w:szCs w:val="16"/>
                <w:color w:val="0000EE"/>
                <w:w w:val="93"/>
              </w:rPr>
            </w:pPr>
            <w:hyperlink r:id="rId180">
              <w:r>
                <w:rPr>
                  <w:rFonts w:ascii="Arial" w:cs="Arial" w:eastAsia="Arial" w:hAnsi="Arial"/>
                  <w:sz w:val="16"/>
                  <w:szCs w:val="16"/>
                  <w:color w:val="0000EE"/>
                  <w:w w:val="93"/>
                </w:rPr>
                <w:t>filed with the SEC on July 17, 2020).</w:t>
              </w:r>
            </w:hyperlink>
          </w:p>
        </w:tc>
        <w:tc>
          <w:tcPr>
            <w:tcW w:w="7660" w:type="dxa"/>
            <w:vAlign w:val="bottom"/>
            <w:gridSpan w:val="19"/>
          </w:tcPr>
          <w:p>
            <w:pPr>
              <w:spacing w:after="0"/>
              <w:rPr>
                <w:sz w:val="14"/>
                <w:szCs w:val="14"/>
                <w:color w:val="auto"/>
              </w:rPr>
            </w:pPr>
          </w:p>
        </w:tc>
      </w:tr>
      <w:tr>
        <w:trPr>
          <w:trHeight w:val="195"/>
        </w:trPr>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color w:val="auto"/>
              </w:rPr>
            </w:pPr>
            <w:r>
              <w:rPr>
                <w:rFonts w:ascii="Arial" w:cs="Arial" w:eastAsia="Arial" w:hAnsi="Arial"/>
                <w:sz w:val="16"/>
                <w:szCs w:val="16"/>
                <w:color w:val="auto"/>
              </w:rPr>
              <w:t xml:space="preserve">Reference is made to Exhibits </w:t>
            </w:r>
            <w:hyperlink w:anchor="page164">
              <w:r>
                <w:rPr>
                  <w:rFonts w:ascii="Arial" w:cs="Arial" w:eastAsia="Arial" w:hAnsi="Arial"/>
                  <w:sz w:val="16"/>
                  <w:szCs w:val="16"/>
                  <w:u w:val="single" w:color="auto"/>
                  <w:color w:val="0000EE"/>
                </w:rPr>
                <w:t>3.1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 </w:t>
            </w:r>
            <w:hyperlink w:anchor="page164">
              <w:r>
                <w:rPr>
                  <w:rFonts w:ascii="Arial" w:cs="Arial" w:eastAsia="Arial" w:hAnsi="Arial"/>
                  <w:sz w:val="16"/>
                  <w:szCs w:val="16"/>
                  <w:u w:val="single" w:color="auto"/>
                  <w:color w:val="0000EE"/>
                </w:rPr>
                <w:t>3.1.1</w:t>
              </w:r>
            </w:hyperlink>
            <w:r>
              <w:rPr>
                <w:rFonts w:ascii="Arial" w:cs="Arial" w:eastAsia="Arial" w:hAnsi="Arial"/>
                <w:sz w:val="16"/>
                <w:szCs w:val="16"/>
                <w:color w:val="auto"/>
              </w:rPr>
              <w:t xml:space="preserve">, </w:t>
            </w:r>
            <w:hyperlink w:anchor="page164">
              <w:r>
                <w:rPr>
                  <w:rFonts w:ascii="Arial" w:cs="Arial" w:eastAsia="Arial" w:hAnsi="Arial"/>
                  <w:sz w:val="16"/>
                  <w:szCs w:val="16"/>
                  <w:u w:val="single" w:color="auto"/>
                  <w:color w:val="0000EE"/>
                </w:rPr>
                <w:t>3.1.2</w:t>
              </w:r>
            </w:hyperlink>
            <w:r>
              <w:rPr>
                <w:rFonts w:ascii="Arial" w:cs="Arial" w:eastAsia="Arial" w:hAnsi="Arial"/>
                <w:sz w:val="16"/>
                <w:szCs w:val="16"/>
                <w:color w:val="auto"/>
              </w:rPr>
              <w:t xml:space="preserve">, </w:t>
            </w:r>
            <w:hyperlink w:anchor="page164">
              <w:r>
                <w:rPr>
                  <w:rFonts w:ascii="Arial" w:cs="Arial" w:eastAsia="Arial" w:hAnsi="Arial"/>
                  <w:sz w:val="16"/>
                  <w:szCs w:val="16"/>
                  <w:u w:val="single" w:color="auto"/>
                  <w:color w:val="0000EE"/>
                </w:rPr>
                <w:t>3.1.3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81">
              <w:r>
                <w:rPr>
                  <w:rFonts w:ascii="Arial" w:cs="Arial" w:eastAsia="Arial" w:hAnsi="Arial"/>
                  <w:sz w:val="16"/>
                  <w:szCs w:val="16"/>
                  <w:u w:val="single" w:color="auto"/>
                  <w:color w:val="0000EE"/>
                </w:rPr>
                <w:t>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hereof.</w:t>
            </w:r>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color w:val="0000EE"/>
              </w:rPr>
            </w:pPr>
            <w:hyperlink w:anchor="page168">
              <w:r>
                <w:rPr>
                  <w:rFonts w:ascii="Arial" w:cs="Arial" w:eastAsia="Arial" w:hAnsi="Arial"/>
                  <w:sz w:val="16"/>
                  <w:szCs w:val="16"/>
                  <w:u w:val="single" w:color="auto"/>
                  <w:color w:val="0000EE"/>
                </w:rPr>
                <w:t>Specimen stock certificate evidencing shares of Common Stock</w:t>
              </w:r>
              <w:r>
                <w:rPr>
                  <w:rFonts w:ascii="Arial" w:cs="Arial" w:eastAsia="Arial" w:hAnsi="Arial"/>
                  <w:sz w:val="16"/>
                  <w:szCs w:val="16"/>
                  <w:color w:val="0000EE"/>
                </w:rPr>
                <w:t>.</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4.3</w:t>
            </w:r>
          </w:p>
        </w:tc>
        <w:tc>
          <w:tcPr>
            <w:tcW w:w="180" w:type="dxa"/>
            <w:vAlign w:val="bottom"/>
          </w:tcPr>
          <w:p>
            <w:pPr>
              <w:spacing w:after="0"/>
              <w:rPr>
                <w:sz w:val="14"/>
                <w:szCs w:val="14"/>
                <w:color w:val="auto"/>
              </w:rPr>
            </w:pPr>
          </w:p>
        </w:tc>
        <w:tc>
          <w:tcPr>
            <w:tcW w:w="10100" w:type="dxa"/>
            <w:vAlign w:val="bottom"/>
            <w:gridSpan w:val="24"/>
          </w:tcPr>
          <w:p>
            <w:pPr>
              <w:spacing w:after="0" w:line="168" w:lineRule="exact"/>
              <w:rPr>
                <w:rFonts w:ascii="Arial" w:cs="Arial" w:eastAsia="Arial" w:hAnsi="Arial"/>
                <w:sz w:val="16"/>
                <w:szCs w:val="16"/>
                <w:color w:val="0000EE"/>
                <w:w w:val="96"/>
              </w:rPr>
            </w:pPr>
            <w:hyperlink r:id="rId182">
              <w:r>
                <w:rPr>
                  <w:rFonts w:ascii="Arial" w:cs="Arial" w:eastAsia="Arial" w:hAnsi="Arial"/>
                  <w:sz w:val="16"/>
                  <w:szCs w:val="16"/>
                  <w:color w:val="0000EE"/>
                  <w:w w:val="96"/>
                </w:rPr>
                <w:t>Form of Series A Common Stock Purchase Warrant (incorporated by reference to Exhibit 4.10 of the Company’s Registration Statement on Form 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20" w:type="dxa"/>
            <w:vAlign w:val="bottom"/>
            <w:tcBorders>
              <w:top w:val="single" w:sz="8" w:color="0000EE"/>
              <w:bottom w:val="single" w:sz="8" w:color="0000EE"/>
            </w:tcBorders>
            <w:gridSpan w:val="12"/>
          </w:tcPr>
          <w:p>
            <w:pPr>
              <w:spacing w:after="0" w:line="171" w:lineRule="exact"/>
              <w:rPr>
                <w:rFonts w:ascii="Arial" w:cs="Arial" w:eastAsia="Arial" w:hAnsi="Arial"/>
                <w:sz w:val="16"/>
                <w:szCs w:val="16"/>
                <w:color w:val="0000EE"/>
                <w:w w:val="89"/>
              </w:rPr>
            </w:pPr>
            <w:hyperlink r:id="rId182">
              <w:r>
                <w:rPr>
                  <w:rFonts w:ascii="Arial" w:cs="Arial" w:eastAsia="Arial" w:hAnsi="Arial"/>
                  <w:sz w:val="16"/>
                  <w:szCs w:val="16"/>
                  <w:color w:val="0000EE"/>
                  <w:w w:val="89"/>
                </w:rPr>
                <w:t>1 (File No. 333-250945), as amended and filed with the SEC on December 23, 2020)</w:t>
              </w:r>
            </w:hyperlink>
          </w:p>
        </w:tc>
        <w:tc>
          <w:tcPr>
            <w:tcW w:w="46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4.4</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3"/>
              </w:rPr>
            </w:pPr>
            <w:hyperlink r:id="rId183">
              <w:r>
                <w:rPr>
                  <w:rFonts w:ascii="Arial" w:cs="Arial" w:eastAsia="Arial" w:hAnsi="Arial"/>
                  <w:sz w:val="16"/>
                  <w:szCs w:val="16"/>
                  <w:color w:val="0000EE"/>
                  <w:w w:val="93"/>
                </w:rPr>
                <w:t>Form of Series B Pre-Funded Common Stock Purchase Warrant (incorporated by reference to Exhibit 4.11 of the Company’s Registration Statement on</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40" w:type="dxa"/>
            <w:vAlign w:val="bottom"/>
            <w:tcBorders>
              <w:bottom w:val="single" w:sz="8" w:color="0000EE"/>
            </w:tcBorders>
            <w:gridSpan w:val="14"/>
          </w:tcPr>
          <w:p>
            <w:pPr>
              <w:spacing w:after="0" w:line="171" w:lineRule="exact"/>
              <w:rPr>
                <w:rFonts w:ascii="Arial" w:cs="Arial" w:eastAsia="Arial" w:hAnsi="Arial"/>
                <w:sz w:val="16"/>
                <w:szCs w:val="16"/>
                <w:color w:val="0000EE"/>
                <w:w w:val="89"/>
              </w:rPr>
            </w:pPr>
            <w:hyperlink r:id="rId183">
              <w:r>
                <w:rPr>
                  <w:rFonts w:ascii="Arial" w:cs="Arial" w:eastAsia="Arial" w:hAnsi="Arial"/>
                  <w:sz w:val="16"/>
                  <w:szCs w:val="16"/>
                  <w:color w:val="0000EE"/>
                  <w:w w:val="89"/>
                </w:rPr>
                <w:t>Form S-1 (File No. 333-250945), as amended and filed with the SEC on December 23, 2020)</w:t>
              </w:r>
            </w:hyperlink>
          </w:p>
        </w:tc>
        <w:tc>
          <w:tcPr>
            <w:tcW w:w="4160" w:type="dxa"/>
            <w:vAlign w:val="bottom"/>
            <w:gridSpan w:val="10"/>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4.5</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0"/>
              </w:rPr>
            </w:pPr>
            <w:hyperlink r:id="rId184">
              <w:r>
                <w:rPr>
                  <w:rFonts w:ascii="Arial" w:cs="Arial" w:eastAsia="Arial" w:hAnsi="Arial"/>
                  <w:sz w:val="16"/>
                  <w:szCs w:val="16"/>
                  <w:color w:val="0000EE"/>
                  <w:w w:val="90"/>
                </w:rPr>
                <w:t>Form of Common Stock Purchase Warrant and schedule of holders (incorporated herein by reference to the Registrant's Current Report on Form 8-K as filed</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84">
              <w:r>
                <w:rPr>
                  <w:rFonts w:ascii="Arial" w:cs="Arial" w:eastAsia="Arial" w:hAnsi="Arial"/>
                  <w:sz w:val="16"/>
                  <w:szCs w:val="16"/>
                  <w:color w:val="0000EE"/>
                </w:rPr>
                <w:t>with the SEC on January 13, 2021).</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4.6</w:t>
            </w: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w w:val="90"/>
              </w:rPr>
            </w:pPr>
            <w:hyperlink r:id="rId179">
              <w:r>
                <w:rPr>
                  <w:rFonts w:ascii="Arial" w:cs="Arial" w:eastAsia="Arial" w:hAnsi="Arial"/>
                  <w:sz w:val="16"/>
                  <w:szCs w:val="16"/>
                  <w:u w:val="single" w:color="auto"/>
                  <w:color w:val="0000EE"/>
                  <w:w w:val="90"/>
                </w:rPr>
                <w:t>Series A Common Stock Purchase Warrant for Underwriter</w:t>
              </w:r>
              <w:r>
                <w:rPr>
                  <w:rFonts w:ascii="Arial" w:cs="Arial" w:eastAsia="Arial" w:hAnsi="Arial"/>
                  <w:sz w:val="16"/>
                  <w:szCs w:val="16"/>
                  <w:color w:val="0000EE"/>
                  <w:w w:val="90"/>
                </w:rPr>
                <w:t xml:space="preserve"> (incorporated herein by reference to the Registrant's Current Report on Form 8-K as filed with the</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gridSpan w:val="8"/>
          </w:tcPr>
          <w:p>
            <w:pPr>
              <w:spacing w:after="0" w:line="171" w:lineRule="exact"/>
              <w:rPr>
                <w:rFonts w:ascii="Arial" w:cs="Arial" w:eastAsia="Arial" w:hAnsi="Arial"/>
                <w:sz w:val="16"/>
                <w:szCs w:val="16"/>
                <w:color w:val="0000EE"/>
              </w:rPr>
            </w:pPr>
            <w:hyperlink r:id="rId179">
              <w:r>
                <w:rPr>
                  <w:rFonts w:ascii="Arial" w:cs="Arial" w:eastAsia="Arial" w:hAnsi="Arial"/>
                  <w:sz w:val="16"/>
                  <w:szCs w:val="16"/>
                  <w:color w:val="0000EE"/>
                </w:rPr>
                <w:t>SEC on January 13, 2021)</w:t>
              </w:r>
            </w:hyperlink>
            <w:hyperlink r:id="rId185">
              <w:r>
                <w:rPr>
                  <w:rFonts w:ascii="Arial" w:cs="Arial" w:eastAsia="Arial" w:hAnsi="Arial"/>
                  <w:sz w:val="16"/>
                  <w:szCs w:val="16"/>
                  <w:u w:val="single" w:color="auto"/>
                  <w:color w:val="0000EE"/>
                </w:rPr>
                <w:t>.</w:t>
              </w:r>
            </w:hyperlink>
          </w:p>
        </w:tc>
        <w:tc>
          <w:tcPr>
            <w:tcW w:w="6280" w:type="dxa"/>
            <w:vAlign w:val="bottom"/>
            <w:tcBorders>
              <w:top w:val="single" w:sz="8" w:color="0000EE"/>
            </w:tcBorders>
            <w:gridSpan w:val="16"/>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8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w w:val="92"/>
              </w:rPr>
            </w:pPr>
            <w:hyperlink r:id="rId186">
              <w:r>
                <w:rPr>
                  <w:rFonts w:ascii="Arial" w:cs="Arial" w:eastAsia="Arial" w:hAnsi="Arial"/>
                  <w:sz w:val="16"/>
                  <w:szCs w:val="16"/>
                  <w:u w:val="single" w:color="auto"/>
                  <w:color w:val="0000EE"/>
                  <w:w w:val="92"/>
                </w:rPr>
                <w:t>Form of Inducement Warrant (incorporated herein by reference to the Registrant's Current Report on Form 8-K as filed with the SEC on January 26, 2021).</w:t>
              </w:r>
            </w:hyperlink>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rPr>
            </w:pPr>
            <w:hyperlink w:anchor="page170">
              <w:r>
                <w:rPr>
                  <w:rFonts w:ascii="Arial" w:cs="Arial" w:eastAsia="Arial" w:hAnsi="Arial"/>
                  <w:sz w:val="16"/>
                  <w:szCs w:val="16"/>
                  <w:u w:val="single" w:color="auto"/>
                  <w:color w:val="0000EE"/>
                </w:rPr>
                <w:t>Description of the Registrant’s Securities Registered Pursuant to Section 12 of the Securities Exchange Act of 1934.</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2"/>
                <w:szCs w:val="12"/>
                <w:color w:val="auto"/>
              </w:rPr>
              <w:t>10.1</w:t>
            </w:r>
            <w:r>
              <w:rPr>
                <w:rFonts w:ascii="Arial" w:cs="Arial" w:eastAsia="Arial" w:hAnsi="Arial"/>
                <w:sz w:val="19"/>
                <w:szCs w:val="19"/>
                <w:color w:val="auto"/>
                <w:vertAlign w:val="superscript"/>
              </w:rPr>
              <w:t>+</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0"/>
              </w:rPr>
            </w:pPr>
            <w:hyperlink r:id="rId187">
              <w:r>
                <w:rPr>
                  <w:rFonts w:ascii="Arial" w:cs="Arial" w:eastAsia="Arial" w:hAnsi="Arial"/>
                  <w:sz w:val="16"/>
                  <w:szCs w:val="16"/>
                  <w:color w:val="0000EE"/>
                  <w:w w:val="90"/>
                </w:rPr>
                <w:t>Material Supply Agreement, by and between the Registrant and Johnson Matthey, Inc., dated as of November 2, 2009 (incorporated by reference Registrant’s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900" w:type="dxa"/>
            <w:vAlign w:val="bottom"/>
            <w:tcBorders>
              <w:bottom w:val="single" w:sz="8" w:color="0000EE"/>
            </w:tcBorders>
            <w:gridSpan w:val="19"/>
          </w:tcPr>
          <w:p>
            <w:pPr>
              <w:spacing w:after="0" w:line="171" w:lineRule="exact"/>
              <w:rPr>
                <w:rFonts w:ascii="Arial" w:cs="Arial" w:eastAsia="Arial" w:hAnsi="Arial"/>
                <w:sz w:val="16"/>
                <w:szCs w:val="16"/>
                <w:color w:val="0000EE"/>
                <w:w w:val="91"/>
              </w:rPr>
            </w:pPr>
            <w:hyperlink r:id="rId187">
              <w:r>
                <w:rPr>
                  <w:rFonts w:ascii="Arial" w:cs="Arial" w:eastAsia="Arial" w:hAnsi="Arial"/>
                  <w:sz w:val="16"/>
                  <w:szCs w:val="16"/>
                  <w:color w:val="0000EE"/>
                  <w:w w:val="91"/>
                </w:rPr>
                <w:t>Amendment No. 1 to Registration Statement on Form S-1/A (File No. 333-202660) as filed with the SEC on April 3, 2015).</w:t>
              </w:r>
            </w:hyperlink>
          </w:p>
        </w:tc>
        <w:tc>
          <w:tcPr>
            <w:tcW w:w="2200" w:type="dxa"/>
            <w:vAlign w:val="bottom"/>
            <w:gridSpan w:val="5"/>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188">
              <w:r>
                <w:rPr>
                  <w:rFonts w:ascii="Arial" w:cs="Arial" w:eastAsia="Arial" w:hAnsi="Arial"/>
                  <w:sz w:val="16"/>
                  <w:szCs w:val="16"/>
                  <w:color w:val="0000EE"/>
                  <w:w w:val="91"/>
                </w:rPr>
                <w:t>Payoff letter, dated as of February 8, 2021, by and among the Company and the lenders named therein (incorporated herein by reference to the Registrant's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88">
              <w:r>
                <w:rPr>
                  <w:rFonts w:ascii="Arial" w:cs="Arial" w:eastAsia="Arial" w:hAnsi="Arial"/>
                  <w:sz w:val="16"/>
                  <w:szCs w:val="16"/>
                  <w:color w:val="0000EE"/>
                </w:rPr>
                <w:t>Current Report on Form 8-K as filed with the SEC on February 9, 2021).</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10.3</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189">
              <w:r>
                <w:rPr>
                  <w:rFonts w:ascii="Arial" w:cs="Arial" w:eastAsia="Arial" w:hAnsi="Arial"/>
                  <w:sz w:val="16"/>
                  <w:szCs w:val="16"/>
                  <w:color w:val="0000EE"/>
                  <w:w w:val="91"/>
                </w:rPr>
                <w:t>Second Amendment to Senior Secured Convertible Note and Warrant, by and between Registrant and Deerfield Private Design Fund III, L.P., dated January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89">
              <w:r>
                <w:rPr>
                  <w:rFonts w:ascii="Arial" w:cs="Arial" w:eastAsia="Arial" w:hAnsi="Arial"/>
                  <w:sz w:val="16"/>
                  <w:szCs w:val="16"/>
                  <w:color w:val="0000EE"/>
                </w:rPr>
                <w:t>6, 2016 (incorporated by reference to the Registrant’s Current Report on Form 8-K as filed with the SEC on January 11, 2016).</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10.3.1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190">
              <w:r>
                <w:rPr>
                  <w:rFonts w:ascii="Arial" w:cs="Arial" w:eastAsia="Arial" w:hAnsi="Arial"/>
                  <w:sz w:val="16"/>
                  <w:szCs w:val="16"/>
                  <w:color w:val="0000EE"/>
                  <w:w w:val="91"/>
                </w:rPr>
                <w:t>Fourth Amendment to Senior Secured Convertible Note and Warrant, effective as of October 3, 2016, by and between KemPharm, Inc. and Deerfield Private</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w w:val="98"/>
              </w:rPr>
            </w:pPr>
            <w:hyperlink r:id="rId190">
              <w:r>
                <w:rPr>
                  <w:rFonts w:ascii="Arial" w:cs="Arial" w:eastAsia="Arial" w:hAnsi="Arial"/>
                  <w:sz w:val="16"/>
                  <w:szCs w:val="16"/>
                  <w:u w:val="single" w:color="auto"/>
                  <w:color w:val="0000EE"/>
                  <w:w w:val="98"/>
                </w:rPr>
                <w:t>Design Fund III, L.P. (incorporated herein by reference to the Registrant's Current Report on Form 8-K as filed with the SEC on October 3, 2016).</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10.3.2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1"/>
              </w:rPr>
            </w:pPr>
            <w:hyperlink r:id="rId191">
              <w:r>
                <w:rPr>
                  <w:rFonts w:ascii="Arial" w:cs="Arial" w:eastAsia="Arial" w:hAnsi="Arial"/>
                  <w:sz w:val="16"/>
                  <w:szCs w:val="16"/>
                  <w:color w:val="0000EE"/>
                  <w:w w:val="91"/>
                </w:rPr>
                <w:t>Amendment to Convertible Note and Warrant Agreement, dated November 20, 2018, between the Company and Deerfield Private Design Fund III, L.P. (as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91">
              <w:r>
                <w:rPr>
                  <w:rFonts w:ascii="Arial" w:cs="Arial" w:eastAsia="Arial" w:hAnsi="Arial"/>
                  <w:sz w:val="16"/>
                  <w:szCs w:val="16"/>
                  <w:color w:val="0000EE"/>
                </w:rPr>
                <w:t>incorporated herein by reference to the Company's Current Report on Form 8-K filed with the SEC on November 20, 2018).</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10.3.3</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192">
              <w:r>
                <w:rPr>
                  <w:rFonts w:ascii="Arial" w:cs="Arial" w:eastAsia="Arial" w:hAnsi="Arial"/>
                  <w:sz w:val="16"/>
                  <w:szCs w:val="16"/>
                  <w:color w:val="0000EE"/>
                  <w:w w:val="91"/>
                </w:rPr>
                <w:t>Seventh Amendment to Senior Secured Convertible Note and Sixth Amendment to Warrant, dated February 28, 2019, between the Company and Deerfield</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w w:val="93"/>
              </w:rPr>
            </w:pPr>
            <w:hyperlink r:id="rId192">
              <w:r>
                <w:rPr>
                  <w:rFonts w:ascii="Arial" w:cs="Arial" w:eastAsia="Arial" w:hAnsi="Arial"/>
                  <w:sz w:val="16"/>
                  <w:szCs w:val="16"/>
                  <w:u w:val="single" w:color="auto"/>
                  <w:color w:val="0000EE"/>
                  <w:w w:val="93"/>
                </w:rPr>
                <w:t>Private Design Fund III, L.P. (incorporated herein by reference to the Registrant's Annual Report on Form 10-K as filed with the SEC on March 1, 2019).</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10.3.4</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0"/>
              </w:rPr>
            </w:pPr>
            <w:hyperlink r:id="rId193">
              <w:r>
                <w:rPr>
                  <w:rFonts w:ascii="Arial" w:cs="Arial" w:eastAsia="Arial" w:hAnsi="Arial"/>
                  <w:sz w:val="16"/>
                  <w:szCs w:val="16"/>
                  <w:color w:val="0000EE"/>
                  <w:w w:val="90"/>
                </w:rPr>
                <w:t>Amendment to Senior Secured Convertible Notes and Amendment to Warrant, dated as of February 17, 2020, by and among Registrant and the noteholders</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rPr>
            </w:pPr>
            <w:hyperlink r:id="rId193">
              <w:r>
                <w:rPr>
                  <w:rFonts w:ascii="Arial" w:cs="Arial" w:eastAsia="Arial" w:hAnsi="Arial"/>
                  <w:sz w:val="16"/>
                  <w:szCs w:val="16"/>
                  <w:u w:val="single" w:color="auto"/>
                  <w:color w:val="0000EE"/>
                </w:rPr>
                <w:t>party thereto (incorporated herein by reference to the Registrant’s Current Report on Form 8-K as filed with the SEC on February 18, 2020)</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10.3.5</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1"/>
              </w:rPr>
            </w:pPr>
            <w:hyperlink r:id="rId194">
              <w:r>
                <w:rPr>
                  <w:rFonts w:ascii="Arial" w:cs="Arial" w:eastAsia="Arial" w:hAnsi="Arial"/>
                  <w:sz w:val="16"/>
                  <w:szCs w:val="16"/>
                  <w:color w:val="0000EE"/>
                  <w:w w:val="91"/>
                </w:rPr>
                <w:t>Amendment to Senior Secured Convertible Notes and Amendment to Warrant, dated as of January 12, 2021, by and among the Company, Deerfield Private</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3"/>
              </w:rPr>
            </w:pPr>
            <w:hyperlink r:id="rId194">
              <w:r>
                <w:rPr>
                  <w:rFonts w:ascii="Arial" w:cs="Arial" w:eastAsia="Arial" w:hAnsi="Arial"/>
                  <w:sz w:val="16"/>
                  <w:szCs w:val="16"/>
                  <w:color w:val="0000EE"/>
                  <w:w w:val="93"/>
                </w:rPr>
                <w:t>Design Fund III, L.P. and Deerfield Special Situations Fund, L.P.(incorporated herein by reference to the Registrant's Current Report on Form 8-K as filed</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194">
              <w:r>
                <w:rPr>
                  <w:rFonts w:ascii="Arial" w:cs="Arial" w:eastAsia="Arial" w:hAnsi="Arial"/>
                  <w:sz w:val="16"/>
                  <w:szCs w:val="16"/>
                  <w:color w:val="0000EE"/>
                </w:rPr>
                <w:t>with the SEC on February 9, 2021)</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10.4</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195">
              <w:r>
                <w:rPr>
                  <w:rFonts w:ascii="Arial" w:cs="Arial" w:eastAsia="Arial" w:hAnsi="Arial"/>
                  <w:sz w:val="16"/>
                  <w:szCs w:val="16"/>
                  <w:color w:val="0000EE"/>
                  <w:w w:val="91"/>
                </w:rPr>
                <w:t>Warrant to Purchase Shares of Series D Preferred Stock issued to Deerfield Private Design Fund III, L.P., dated as of June 2, 2014 (incorporated herein by</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rPr>
            </w:pPr>
            <w:hyperlink r:id="rId195">
              <w:r>
                <w:rPr>
                  <w:rFonts w:ascii="Arial" w:cs="Arial" w:eastAsia="Arial" w:hAnsi="Arial"/>
                  <w:sz w:val="16"/>
                  <w:szCs w:val="16"/>
                  <w:u w:val="single" w:color="auto"/>
                  <w:color w:val="0000EE"/>
                </w:rPr>
                <w:t>reference to the Registrant’s Registration Statement on Form S-1 (File No. 333-202660) as filed with the SEC on March 11, 2015).</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10.4.1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3"/>
              </w:rPr>
            </w:pPr>
            <w:hyperlink r:id="rId196">
              <w:r>
                <w:rPr>
                  <w:rFonts w:ascii="Arial" w:cs="Arial" w:eastAsia="Arial" w:hAnsi="Arial"/>
                  <w:sz w:val="16"/>
                  <w:szCs w:val="16"/>
                  <w:color w:val="0000EE"/>
                  <w:w w:val="93"/>
                </w:rPr>
                <w:t>Form of Stock Purchase Warrant to purchase shares of Series D Convertible Preferred Stock issued in bridge financing, along with a schedule of warrant</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w w:val="91"/>
              </w:rPr>
            </w:pPr>
            <w:hyperlink r:id="rId196">
              <w:r>
                <w:rPr>
                  <w:rFonts w:ascii="Arial" w:cs="Arial" w:eastAsia="Arial" w:hAnsi="Arial"/>
                  <w:sz w:val="16"/>
                  <w:szCs w:val="16"/>
                  <w:color w:val="0000EE"/>
                  <w:w w:val="91"/>
                </w:rPr>
                <w:t>holders (incorporated herein by reference to the Registrant’s Registration Statement on Form S-1 (File No. 333-202660) as filed with the SEC on March 11,</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spacing w:after="0"/>
              <w:rPr>
                <w:sz w:val="14"/>
                <w:szCs w:val="14"/>
                <w:color w:val="auto"/>
              </w:rPr>
            </w:pPr>
          </w:p>
        </w:tc>
        <w:tc>
          <w:tcPr>
            <w:tcW w:w="580" w:type="dxa"/>
            <w:vAlign w:val="bottom"/>
            <w:gridSpan w:val="2"/>
          </w:tcPr>
          <w:p>
            <w:pPr>
              <w:ind w:left="180"/>
              <w:spacing w:after="0" w:line="171" w:lineRule="exact"/>
              <w:rPr>
                <w:rFonts w:ascii="Arial" w:cs="Arial" w:eastAsia="Arial" w:hAnsi="Arial"/>
                <w:sz w:val="16"/>
                <w:szCs w:val="16"/>
                <w:color w:val="0000EE"/>
                <w:w w:val="83"/>
              </w:rPr>
            </w:pPr>
            <w:hyperlink r:id="rId196">
              <w:r>
                <w:rPr>
                  <w:rFonts w:ascii="Arial" w:cs="Arial" w:eastAsia="Arial" w:hAnsi="Arial"/>
                  <w:sz w:val="16"/>
                  <w:szCs w:val="16"/>
                  <w:color w:val="0000EE"/>
                  <w:w w:val="83"/>
                </w:rPr>
                <w:t>2015).</w:t>
              </w:r>
            </w:hyperlink>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10.5</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89"/>
              </w:rPr>
            </w:pPr>
            <w:hyperlink r:id="rId197">
              <w:r>
                <w:rPr>
                  <w:rFonts w:ascii="Arial" w:cs="Arial" w:eastAsia="Arial" w:hAnsi="Arial"/>
                  <w:sz w:val="16"/>
                  <w:szCs w:val="16"/>
                  <w:color w:val="0000EE"/>
                  <w:w w:val="89"/>
                </w:rPr>
                <w:t>Amended and Restated Investors’ Rights Agreement, dated as of February 19, 2015, by and among the Registrant and certain of its stockholders (incorporated</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rPr>
            </w:pPr>
            <w:hyperlink r:id="rId197">
              <w:r>
                <w:rPr>
                  <w:rFonts w:ascii="Arial" w:cs="Arial" w:eastAsia="Arial" w:hAnsi="Arial"/>
                  <w:sz w:val="16"/>
                  <w:szCs w:val="16"/>
                  <w:u w:val="single" w:color="auto"/>
                  <w:color w:val="0000EE"/>
                </w:rPr>
                <w:t>herein by reference to the Registrant’s Registration Statement on Form S-1 (File No. 333-202660) as filed with the SEC on March 11, 2015).</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2"/>
                <w:szCs w:val="12"/>
                <w:color w:val="auto"/>
              </w:rPr>
              <w:t>10.6</w:t>
            </w:r>
            <w:r>
              <w:rPr>
                <w:rFonts w:ascii="Arial" w:cs="Arial" w:eastAsia="Arial" w:hAnsi="Arial"/>
                <w:sz w:val="19"/>
                <w:szCs w:val="19"/>
                <w:color w:val="auto"/>
                <w:vertAlign w:val="superscript"/>
              </w:rPr>
              <w:t>+</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2"/>
              </w:rPr>
            </w:pPr>
            <w:hyperlink r:id="rId198">
              <w:r>
                <w:rPr>
                  <w:rFonts w:ascii="Arial" w:cs="Arial" w:eastAsia="Arial" w:hAnsi="Arial"/>
                  <w:sz w:val="16"/>
                  <w:szCs w:val="16"/>
                  <w:color w:val="0000EE"/>
                  <w:w w:val="92"/>
                </w:rPr>
                <w:t>Agreement to Terminate CLA, by and between MonoSol Rx, LLC and the Registrant, dated as of March 20, 2012 (incorporated herein by reference to the</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00" w:type="dxa"/>
            <w:vAlign w:val="bottom"/>
            <w:gridSpan w:val="24"/>
          </w:tcPr>
          <w:p>
            <w:pPr>
              <w:spacing w:after="0"/>
              <w:rPr>
                <w:rFonts w:ascii="Arial" w:cs="Arial" w:eastAsia="Arial" w:hAnsi="Arial"/>
                <w:sz w:val="16"/>
                <w:szCs w:val="16"/>
                <w:u w:val="single" w:color="auto"/>
                <w:color w:val="0000EE"/>
              </w:rPr>
            </w:pPr>
            <w:hyperlink r:id="rId198">
              <w:r>
                <w:rPr>
                  <w:rFonts w:ascii="Arial" w:cs="Arial" w:eastAsia="Arial" w:hAnsi="Arial"/>
                  <w:sz w:val="16"/>
                  <w:szCs w:val="16"/>
                  <w:u w:val="single" w:color="auto"/>
                  <w:color w:val="0000EE"/>
                </w:rPr>
                <w:t>Registrant's Amendment No. 1 to Registration Statement on Form S-1/A (File No. 333-202660) as filed with the SEC on April 3, 2015).</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10.7#</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68" w:lineRule="exact"/>
              <w:rPr>
                <w:rFonts w:ascii="Arial" w:cs="Arial" w:eastAsia="Arial" w:hAnsi="Arial"/>
                <w:sz w:val="16"/>
                <w:szCs w:val="16"/>
                <w:color w:val="0000EE"/>
                <w:w w:val="90"/>
              </w:rPr>
            </w:pPr>
            <w:hyperlink r:id="rId199">
              <w:r>
                <w:rPr>
                  <w:rFonts w:ascii="Arial" w:cs="Arial" w:eastAsia="Arial" w:hAnsi="Arial"/>
                  <w:sz w:val="16"/>
                  <w:szCs w:val="16"/>
                  <w:color w:val="0000EE"/>
                  <w:w w:val="90"/>
                </w:rPr>
                <w:t>Incentive Stock Plan, as amended to date (incorporated herein by reference to the Registrant's Registration Statement on Form S-1 (File No. 333-202660) as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Borders>
              <w:bottom w:val="single" w:sz="8" w:color="0000EE"/>
            </w:tcBorders>
            <w:gridSpan w:val="6"/>
          </w:tcPr>
          <w:p>
            <w:pPr>
              <w:spacing w:after="0" w:line="171" w:lineRule="exact"/>
              <w:rPr>
                <w:rFonts w:ascii="Arial" w:cs="Arial" w:eastAsia="Arial" w:hAnsi="Arial"/>
                <w:sz w:val="16"/>
                <w:szCs w:val="16"/>
                <w:color w:val="0000EE"/>
                <w:w w:val="91"/>
              </w:rPr>
            </w:pPr>
            <w:hyperlink r:id="rId199">
              <w:r>
                <w:rPr>
                  <w:rFonts w:ascii="Arial" w:cs="Arial" w:eastAsia="Arial" w:hAnsi="Arial"/>
                  <w:sz w:val="16"/>
                  <w:szCs w:val="16"/>
                  <w:color w:val="0000EE"/>
                  <w:w w:val="91"/>
                </w:rPr>
                <w:t>filed with the SEC on March 11, 2015).</w:t>
              </w:r>
            </w:hyperlink>
          </w:p>
        </w:tc>
        <w:tc>
          <w:tcPr>
            <w:tcW w:w="7580" w:type="dxa"/>
            <w:vAlign w:val="bottom"/>
            <w:gridSpan w:val="18"/>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10.7.1#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1"/>
              </w:rPr>
            </w:pPr>
            <w:hyperlink r:id="rId200">
              <w:r>
                <w:rPr>
                  <w:rFonts w:ascii="Arial" w:cs="Arial" w:eastAsia="Arial" w:hAnsi="Arial"/>
                  <w:sz w:val="16"/>
                  <w:szCs w:val="16"/>
                  <w:color w:val="0000EE"/>
                  <w:w w:val="91"/>
                </w:rPr>
                <w:t>Form of Incentive Stock Option Agreement under Incentive Stock Plan (incorporated herein by reference to the Registrant's Registration Statement on Form</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rPr>
            </w:pPr>
            <w:hyperlink r:id="rId200">
              <w:r>
                <w:rPr>
                  <w:rFonts w:ascii="Arial" w:cs="Arial" w:eastAsia="Arial" w:hAnsi="Arial"/>
                  <w:sz w:val="16"/>
                  <w:szCs w:val="16"/>
                  <w:color w:val="0000EE"/>
                </w:rPr>
                <w:t>S-1 (File No. 333-202660) as filed with the SEC on March 11, 2015).</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10.7.2#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2"/>
              </w:rPr>
            </w:pPr>
            <w:hyperlink r:id="rId201">
              <w:r>
                <w:rPr>
                  <w:rFonts w:ascii="Arial" w:cs="Arial" w:eastAsia="Arial" w:hAnsi="Arial"/>
                  <w:sz w:val="16"/>
                  <w:szCs w:val="16"/>
                  <w:color w:val="0000EE"/>
                  <w:w w:val="92"/>
                </w:rPr>
                <w:t>Form of Nonqualified Stock Option Agreement under Incentive Stock Plan (incorporated herein by reference to the Registrant's Registration Statement on</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20" w:type="dxa"/>
            <w:vAlign w:val="bottom"/>
            <w:tcBorders>
              <w:bottom w:val="single" w:sz="8" w:color="0000EE"/>
            </w:tcBorders>
            <w:gridSpan w:val="11"/>
          </w:tcPr>
          <w:p>
            <w:pPr>
              <w:spacing w:after="0" w:line="171" w:lineRule="exact"/>
              <w:rPr>
                <w:rFonts w:ascii="Arial" w:cs="Arial" w:eastAsia="Arial" w:hAnsi="Arial"/>
                <w:sz w:val="16"/>
                <w:szCs w:val="16"/>
                <w:color w:val="0000EE"/>
                <w:w w:val="91"/>
              </w:rPr>
            </w:pPr>
            <w:hyperlink r:id="rId201">
              <w:r>
                <w:rPr>
                  <w:rFonts w:ascii="Arial" w:cs="Arial" w:eastAsia="Arial" w:hAnsi="Arial"/>
                  <w:sz w:val="16"/>
                  <w:szCs w:val="16"/>
                  <w:color w:val="0000EE"/>
                  <w:w w:val="91"/>
                </w:rPr>
                <w:t>Form S-1 (File No. 333-202660) as filed with the SEC on March 11, 2015).</w:t>
              </w:r>
            </w:hyperlink>
          </w:p>
        </w:tc>
        <w:tc>
          <w:tcPr>
            <w:tcW w:w="5280" w:type="dxa"/>
            <w:vAlign w:val="bottom"/>
            <w:gridSpan w:val="13"/>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10.7.3#</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2"/>
              </w:rPr>
            </w:pPr>
            <w:hyperlink r:id="rId202">
              <w:r>
                <w:rPr>
                  <w:rFonts w:ascii="Arial" w:cs="Arial" w:eastAsia="Arial" w:hAnsi="Arial"/>
                  <w:sz w:val="16"/>
                  <w:szCs w:val="16"/>
                  <w:color w:val="0000EE"/>
                  <w:w w:val="92"/>
                </w:rPr>
                <w:t>Form of 2014 Equity Incentive Plan (incorporated herein by reference to Registrant's Amendment No. 1 to Registration Statement on Form S-1/A (File No.</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Borders>
              <w:bottom w:val="single" w:sz="8" w:color="0000EE"/>
            </w:tcBorders>
            <w:gridSpan w:val="7"/>
          </w:tcPr>
          <w:p>
            <w:pPr>
              <w:spacing w:after="0" w:line="171" w:lineRule="exact"/>
              <w:rPr>
                <w:rFonts w:ascii="Arial" w:cs="Arial" w:eastAsia="Arial" w:hAnsi="Arial"/>
                <w:sz w:val="16"/>
                <w:szCs w:val="16"/>
                <w:color w:val="0000EE"/>
                <w:w w:val="91"/>
              </w:rPr>
            </w:pPr>
            <w:hyperlink r:id="rId202">
              <w:r>
                <w:rPr>
                  <w:rFonts w:ascii="Arial" w:cs="Arial" w:eastAsia="Arial" w:hAnsi="Arial"/>
                  <w:sz w:val="16"/>
                  <w:szCs w:val="16"/>
                  <w:color w:val="0000EE"/>
                  <w:w w:val="91"/>
                </w:rPr>
                <w:t>333-202660) as filed with the SEC on April 3, 2015).</w:t>
              </w:r>
            </w:hyperlink>
          </w:p>
        </w:tc>
        <w:tc>
          <w:tcPr>
            <w:tcW w:w="6700" w:type="dxa"/>
            <w:vAlign w:val="bottom"/>
            <w:gridSpan w:val="17"/>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10.7.4#</w:t>
            </w:r>
          </w:p>
        </w:tc>
        <w:tc>
          <w:tcPr>
            <w:tcW w:w="180" w:type="dxa"/>
            <w:vAlign w:val="bottom"/>
          </w:tcPr>
          <w:p>
            <w:pPr>
              <w:spacing w:after="0"/>
              <w:rPr>
                <w:sz w:val="14"/>
                <w:szCs w:val="14"/>
                <w:color w:val="auto"/>
              </w:rPr>
            </w:pPr>
          </w:p>
        </w:tc>
        <w:tc>
          <w:tcPr>
            <w:tcW w:w="10100" w:type="dxa"/>
            <w:vAlign w:val="bottom"/>
            <w:tcBorders>
              <w:bottom w:val="single" w:sz="8" w:color="0000EE"/>
            </w:tcBorders>
            <w:gridSpan w:val="24"/>
          </w:tcPr>
          <w:p>
            <w:pPr>
              <w:spacing w:after="0" w:line="171" w:lineRule="exact"/>
              <w:rPr>
                <w:rFonts w:ascii="Arial" w:cs="Arial" w:eastAsia="Arial" w:hAnsi="Arial"/>
                <w:sz w:val="16"/>
                <w:szCs w:val="16"/>
                <w:color w:val="0000EE"/>
                <w:w w:val="94"/>
              </w:rPr>
            </w:pPr>
            <w:hyperlink r:id="rId203">
              <w:r>
                <w:rPr>
                  <w:rFonts w:ascii="Arial" w:cs="Arial" w:eastAsia="Arial" w:hAnsi="Arial"/>
                  <w:sz w:val="16"/>
                  <w:szCs w:val="16"/>
                  <w:color w:val="0000EE"/>
                  <w:w w:val="94"/>
                </w:rPr>
                <w:t>Form of Stock Option Grant Notice and Stock Option Agreement under 2014 Equity Incentive Plan (incorporated herein by reference to the Registrant's</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60" w:type="dxa"/>
            <w:vAlign w:val="bottom"/>
            <w:tcBorders>
              <w:bottom w:val="single" w:sz="8" w:color="0000EE"/>
            </w:tcBorders>
            <w:gridSpan w:val="16"/>
          </w:tcPr>
          <w:p>
            <w:pPr>
              <w:spacing w:after="0" w:line="171" w:lineRule="exact"/>
              <w:rPr>
                <w:rFonts w:ascii="Arial" w:cs="Arial" w:eastAsia="Arial" w:hAnsi="Arial"/>
                <w:sz w:val="16"/>
                <w:szCs w:val="16"/>
                <w:color w:val="0000EE"/>
                <w:w w:val="90"/>
              </w:rPr>
            </w:pPr>
            <w:hyperlink r:id="rId203">
              <w:r>
                <w:rPr>
                  <w:rFonts w:ascii="Arial" w:cs="Arial" w:eastAsia="Arial" w:hAnsi="Arial"/>
                  <w:sz w:val="16"/>
                  <w:szCs w:val="16"/>
                  <w:color w:val="0000EE"/>
                  <w:w w:val="90"/>
                </w:rPr>
                <w:t>Registration Statement on Form S-1 File No. 333-202660) as filed with the SEC on March 11, 2015).</w:t>
              </w:r>
            </w:hyperlink>
          </w:p>
        </w:tc>
        <w:tc>
          <w:tcPr>
            <w:tcW w:w="3640" w:type="dxa"/>
            <w:vAlign w:val="bottom"/>
            <w:gridSpan w:val="8"/>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10.7.5#</w:t>
            </w: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w w:val="92"/>
              </w:rPr>
            </w:pPr>
            <w:hyperlink r:id="rId204">
              <w:r>
                <w:rPr>
                  <w:rFonts w:ascii="Arial" w:cs="Arial" w:eastAsia="Arial" w:hAnsi="Arial"/>
                  <w:sz w:val="16"/>
                  <w:szCs w:val="16"/>
                  <w:color w:val="0000EE"/>
                  <w:w w:val="92"/>
                </w:rPr>
                <w:t>Form of Restricted Stock Unit Grant Notice and Restricted Stock Unit Agreement under 2014 Equity Incentive Plan (incorporated herein by reference to the</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40" w:type="dxa"/>
            <w:vAlign w:val="bottom"/>
            <w:tcBorders>
              <w:top w:val="single" w:sz="8" w:color="0000EE"/>
              <w:bottom w:val="single" w:sz="8" w:color="0000EE"/>
            </w:tcBorders>
            <w:gridSpan w:val="18"/>
          </w:tcPr>
          <w:p>
            <w:pPr>
              <w:spacing w:after="0" w:line="171" w:lineRule="exact"/>
              <w:rPr>
                <w:rFonts w:ascii="Arial" w:cs="Arial" w:eastAsia="Arial" w:hAnsi="Arial"/>
                <w:sz w:val="16"/>
                <w:szCs w:val="16"/>
                <w:color w:val="0000EE"/>
                <w:w w:val="90"/>
              </w:rPr>
            </w:pPr>
            <w:hyperlink r:id="rId204">
              <w:r>
                <w:rPr>
                  <w:rFonts w:ascii="Arial" w:cs="Arial" w:eastAsia="Arial" w:hAnsi="Arial"/>
                  <w:sz w:val="16"/>
                  <w:szCs w:val="16"/>
                  <w:color w:val="0000EE"/>
                  <w:w w:val="90"/>
                </w:rPr>
                <w:t>Registrant's Registration Statement on Form S-1 File No. 333-202660) as filed with the SEC on March 11, 2015).</w:t>
              </w:r>
            </w:hyperlink>
          </w:p>
        </w:tc>
        <w:tc>
          <w:tcPr>
            <w:tcW w:w="284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10.7.6#</w:t>
            </w:r>
          </w:p>
        </w:tc>
        <w:tc>
          <w:tcPr>
            <w:tcW w:w="180" w:type="dxa"/>
            <w:vAlign w:val="bottom"/>
          </w:tcPr>
          <w:p>
            <w:pPr>
              <w:spacing w:after="0"/>
              <w:rPr>
                <w:sz w:val="14"/>
                <w:szCs w:val="14"/>
                <w:color w:val="auto"/>
              </w:rPr>
            </w:pPr>
          </w:p>
        </w:tc>
        <w:tc>
          <w:tcPr>
            <w:tcW w:w="10100" w:type="dxa"/>
            <w:vAlign w:val="bottom"/>
            <w:gridSpan w:val="24"/>
          </w:tcPr>
          <w:p>
            <w:pPr>
              <w:spacing w:after="0" w:line="171" w:lineRule="exact"/>
              <w:rPr>
                <w:rFonts w:ascii="Arial" w:cs="Arial" w:eastAsia="Arial" w:hAnsi="Arial"/>
                <w:sz w:val="16"/>
                <w:szCs w:val="16"/>
                <w:color w:val="0000EE"/>
                <w:w w:val="91"/>
              </w:rPr>
            </w:pPr>
            <w:hyperlink r:id="rId205">
              <w:r>
                <w:rPr>
                  <w:rFonts w:ascii="Arial" w:cs="Arial" w:eastAsia="Arial" w:hAnsi="Arial"/>
                  <w:sz w:val="16"/>
                  <w:szCs w:val="16"/>
                  <w:color w:val="0000EE"/>
                  <w:w w:val="91"/>
                </w:rPr>
                <w:t>Form of Restricted Stock Award Grant Notice and Restricted Stock Award Agreement under 2014 Equity Incentive Plan (incorporated herein by reference to</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0" w:type="dxa"/>
            <w:vAlign w:val="bottom"/>
            <w:tcBorders>
              <w:top w:val="single" w:sz="8" w:color="0000EE"/>
            </w:tcBorders>
            <w:gridSpan w:val="22"/>
          </w:tcPr>
          <w:p>
            <w:pPr>
              <w:spacing w:after="0" w:line="171" w:lineRule="exact"/>
              <w:rPr>
                <w:rFonts w:ascii="Arial" w:cs="Arial" w:eastAsia="Arial" w:hAnsi="Arial"/>
                <w:sz w:val="16"/>
                <w:szCs w:val="16"/>
                <w:color w:val="0000EE"/>
              </w:rPr>
            </w:pPr>
            <w:hyperlink r:id="rId205">
              <w:r>
                <w:rPr>
                  <w:rFonts w:ascii="Arial" w:cs="Arial" w:eastAsia="Arial" w:hAnsi="Arial"/>
                  <w:sz w:val="16"/>
                  <w:szCs w:val="16"/>
                  <w:color w:val="0000EE"/>
                </w:rPr>
                <w:t>the Registrant's Quarterly Report on Form 10-Q as filed with the SEC on May 14, 2019)</w:t>
              </w:r>
            </w:hyperlink>
          </w:p>
        </w:tc>
        <w:tc>
          <w:tcPr>
            <w:tcW w:w="100" w:type="dxa"/>
            <w:vAlign w:val="bottom"/>
            <w:gridSpan w:val="2"/>
          </w:tcPr>
          <w:p>
            <w:pPr>
              <w:spacing w:after="0"/>
              <w:rPr>
                <w:sz w:val="14"/>
                <w:szCs w:val="14"/>
                <w:color w:val="auto"/>
              </w:rPr>
            </w:pPr>
          </w:p>
        </w:tc>
      </w:tr>
      <w:tr>
        <w:trPr>
          <w:trHeight w:val="398"/>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tcBorders>
              <w:top w:val="single" w:sz="8" w:color="0000EE"/>
            </w:tcBorders>
            <w:gridSpan w:val="10"/>
          </w:tcPr>
          <w:p>
            <w:pPr>
              <w:ind w:left="4340"/>
              <w:spacing w:after="0"/>
              <w:rPr>
                <w:sz w:val="20"/>
                <w:szCs w:val="20"/>
                <w:color w:val="auto"/>
              </w:rPr>
            </w:pPr>
            <w:r>
              <w:rPr>
                <w:rFonts w:ascii="Arial" w:cs="Arial" w:eastAsia="Arial" w:hAnsi="Arial"/>
                <w:sz w:val="16"/>
                <w:szCs w:val="16"/>
                <w:color w:val="auto"/>
              </w:rPr>
              <w:t>164</w:t>
            </w: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744" w:right="31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20" w:type="dxa"/>
            <w:vAlign w:val="bottom"/>
            <w:gridSpan w:val="18"/>
          </w:tcPr>
          <w:p>
            <w:pPr>
              <w:ind w:left="3580"/>
              <w:spacing w:after="0"/>
              <w:rPr>
                <w:sz w:val="20"/>
                <w:szCs w:val="20"/>
                <w:color w:val="auto"/>
              </w:rPr>
            </w:pPr>
            <w:r>
              <w:rPr>
                <w:rFonts w:ascii="Arial" w:cs="Arial" w:eastAsia="Arial" w:hAnsi="Arial"/>
                <w:sz w:val="16"/>
                <w:szCs w:val="16"/>
                <w:b w:val="1"/>
                <w:bCs w:val="1"/>
                <w:color w:val="auto"/>
              </w:rPr>
              <w:t>EXHIBITS, CONTINUED</w:t>
            </w:r>
          </w:p>
        </w:tc>
      </w:tr>
      <w:tr>
        <w:trPr>
          <w:trHeight w:val="382"/>
        </w:trPr>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Exhibit No.</w:t>
            </w:r>
          </w:p>
        </w:tc>
        <w:tc>
          <w:tcPr>
            <w:tcW w:w="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80" w:type="dxa"/>
            <w:vAlign w:val="bottom"/>
            <w:gridSpan w:val="17"/>
          </w:tcPr>
          <w:p>
            <w:pPr>
              <w:ind w:left="60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9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color w:val="auto"/>
                <w:w w:val="95"/>
              </w:rPr>
              <w:t>10.8#*</w:t>
            </w:r>
          </w:p>
        </w:tc>
        <w:tc>
          <w:tcPr>
            <w:tcW w:w="180" w:type="dxa"/>
            <w:vAlign w:val="bottom"/>
          </w:tcPr>
          <w:p>
            <w:pPr>
              <w:spacing w:after="0"/>
              <w:rPr>
                <w:sz w:val="14"/>
                <w:szCs w:val="14"/>
                <w:color w:val="auto"/>
              </w:rPr>
            </w:pPr>
          </w:p>
        </w:tc>
        <w:tc>
          <w:tcPr>
            <w:tcW w:w="10100" w:type="dxa"/>
            <w:vAlign w:val="bottom"/>
            <w:tcBorders>
              <w:top w:val="single" w:sz="8" w:color="auto"/>
            </w:tcBorders>
            <w:gridSpan w:val="17"/>
          </w:tcPr>
          <w:p>
            <w:pPr>
              <w:spacing w:after="0" w:line="171" w:lineRule="exact"/>
              <w:rPr>
                <w:rFonts w:ascii="Arial" w:cs="Arial" w:eastAsia="Arial" w:hAnsi="Arial"/>
                <w:sz w:val="16"/>
                <w:szCs w:val="16"/>
                <w:u w:val="single" w:color="auto"/>
                <w:color w:val="0000EE"/>
              </w:rPr>
            </w:pPr>
            <w:hyperlink w:anchor="page176">
              <w:r>
                <w:rPr>
                  <w:rFonts w:ascii="Arial" w:cs="Arial" w:eastAsia="Arial" w:hAnsi="Arial"/>
                  <w:sz w:val="16"/>
                  <w:szCs w:val="16"/>
                  <w:u w:val="single" w:color="auto"/>
                  <w:color w:val="0000EE"/>
                </w:rPr>
                <w:t>Sixth Amended and Restated Non-Employee Director Compensation Policy.</w:t>
              </w:r>
            </w:hyperlink>
          </w:p>
        </w:tc>
        <w:tc>
          <w:tcPr>
            <w:tcW w:w="20" w:type="dxa"/>
            <w:vAlign w:val="bottom"/>
          </w:tcPr>
          <w:p>
            <w:pPr>
              <w:spacing w:after="0"/>
              <w:rPr>
                <w:sz w:val="14"/>
                <w:szCs w:val="14"/>
                <w:color w:val="auto"/>
              </w:rPr>
            </w:pPr>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10.9#</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68" w:lineRule="exact"/>
              <w:rPr>
                <w:rFonts w:ascii="Arial" w:cs="Arial" w:eastAsia="Arial" w:hAnsi="Arial"/>
                <w:sz w:val="16"/>
                <w:szCs w:val="16"/>
                <w:color w:val="0000EE"/>
                <w:w w:val="92"/>
              </w:rPr>
            </w:pPr>
            <w:hyperlink r:id="rId206">
              <w:r>
                <w:rPr>
                  <w:rFonts w:ascii="Arial" w:cs="Arial" w:eastAsia="Arial" w:hAnsi="Arial"/>
                  <w:sz w:val="16"/>
                  <w:szCs w:val="16"/>
                  <w:color w:val="0000EE"/>
                  <w:w w:val="92"/>
                </w:rPr>
                <w:t>Form of Indemnification Agreement with the Registrant's directors and executive officers (incorporated herein by reference to the Registrant's Registration</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rPr>
            </w:pPr>
            <w:hyperlink r:id="rId206">
              <w:r>
                <w:rPr>
                  <w:rFonts w:ascii="Arial" w:cs="Arial" w:eastAsia="Arial" w:hAnsi="Arial"/>
                  <w:sz w:val="16"/>
                  <w:szCs w:val="16"/>
                  <w:color w:val="0000EE"/>
                </w:rPr>
                <w:t>Statement on Form S-1 (File No. 333-202660) as filed with the SEC on March 11, 2015).</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10.10#</w:t>
            </w:r>
          </w:p>
        </w:tc>
        <w:tc>
          <w:tcPr>
            <w:tcW w:w="180" w:type="dxa"/>
            <w:vAlign w:val="bottom"/>
          </w:tcPr>
          <w:p>
            <w:pPr>
              <w:spacing w:after="0"/>
              <w:rPr>
                <w:sz w:val="14"/>
                <w:szCs w:val="14"/>
                <w:color w:val="auto"/>
              </w:rPr>
            </w:pPr>
          </w:p>
        </w:tc>
        <w:tc>
          <w:tcPr>
            <w:tcW w:w="10120" w:type="dxa"/>
            <w:vAlign w:val="bottom"/>
            <w:tcBorders>
              <w:bottom w:val="single" w:sz="8" w:color="0000EE"/>
            </w:tcBorders>
            <w:gridSpan w:val="18"/>
          </w:tcPr>
          <w:p>
            <w:pPr>
              <w:spacing w:after="0" w:line="171" w:lineRule="exact"/>
              <w:rPr>
                <w:rFonts w:ascii="Arial" w:cs="Arial" w:eastAsia="Arial" w:hAnsi="Arial"/>
                <w:sz w:val="16"/>
                <w:szCs w:val="16"/>
                <w:color w:val="0000EE"/>
                <w:w w:val="91"/>
              </w:rPr>
            </w:pPr>
            <w:hyperlink r:id="rId207">
              <w:r>
                <w:rPr>
                  <w:rFonts w:ascii="Arial" w:cs="Arial" w:eastAsia="Arial" w:hAnsi="Arial"/>
                  <w:sz w:val="16"/>
                  <w:szCs w:val="16"/>
                  <w:color w:val="0000EE"/>
                  <w:w w:val="91"/>
                </w:rPr>
                <w:t>Amended and Restated Employment Agreement by and between the Registrant and R. LaDuane Clifton, dated as of June 25, 2015 (incorporated herein by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rPr>
            </w:pPr>
            <w:hyperlink r:id="rId207">
              <w:r>
                <w:rPr>
                  <w:rFonts w:ascii="Arial" w:cs="Arial" w:eastAsia="Arial" w:hAnsi="Arial"/>
                  <w:sz w:val="16"/>
                  <w:szCs w:val="16"/>
                  <w:color w:val="0000EE"/>
                </w:rPr>
                <w:t>reference to the Registrant's Quarterly Report on Form 10-Q as filed with the SEC on August 14, 2015).</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10.10.1#</w:t>
            </w:r>
          </w:p>
        </w:tc>
        <w:tc>
          <w:tcPr>
            <w:tcW w:w="180" w:type="dxa"/>
            <w:vAlign w:val="bottom"/>
          </w:tcPr>
          <w:p>
            <w:pPr>
              <w:spacing w:after="0"/>
              <w:rPr>
                <w:sz w:val="14"/>
                <w:szCs w:val="14"/>
                <w:color w:val="auto"/>
              </w:rPr>
            </w:pPr>
          </w:p>
        </w:tc>
        <w:tc>
          <w:tcPr>
            <w:tcW w:w="10120" w:type="dxa"/>
            <w:vAlign w:val="bottom"/>
            <w:tcBorders>
              <w:bottom w:val="single" w:sz="8" w:color="0000EE"/>
            </w:tcBorders>
            <w:gridSpan w:val="18"/>
          </w:tcPr>
          <w:p>
            <w:pPr>
              <w:spacing w:after="0" w:line="171" w:lineRule="exact"/>
              <w:rPr>
                <w:rFonts w:ascii="Arial" w:cs="Arial" w:eastAsia="Arial" w:hAnsi="Arial"/>
                <w:sz w:val="16"/>
                <w:szCs w:val="16"/>
                <w:color w:val="0000EE"/>
                <w:w w:val="95"/>
              </w:rPr>
            </w:pPr>
            <w:hyperlink r:id="rId208">
              <w:r>
                <w:rPr>
                  <w:rFonts w:ascii="Arial" w:cs="Arial" w:eastAsia="Arial" w:hAnsi="Arial"/>
                  <w:sz w:val="16"/>
                  <w:szCs w:val="16"/>
                  <w:color w:val="0000EE"/>
                  <w:w w:val="95"/>
                </w:rPr>
                <w:t>Amendment to Amended and Restated Employment Agreement by and between the Registrant and R. LaDuane Clifton, dated as of October 13, 2015</w:t>
              </w:r>
            </w:hyperlink>
          </w:p>
        </w:tc>
      </w:tr>
      <w:tr>
        <w:trPr>
          <w:trHeight w:val="195"/>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gridSpan w:val="18"/>
          </w:tcPr>
          <w:p>
            <w:pPr>
              <w:spacing w:after="0"/>
              <w:rPr>
                <w:rFonts w:ascii="Arial" w:cs="Arial" w:eastAsia="Arial" w:hAnsi="Arial"/>
                <w:sz w:val="16"/>
                <w:szCs w:val="16"/>
                <w:u w:val="single" w:color="auto"/>
                <w:color w:val="0000EE"/>
              </w:rPr>
            </w:pPr>
            <w:hyperlink r:id="rId208">
              <w:r>
                <w:rPr>
                  <w:rFonts w:ascii="Arial" w:cs="Arial" w:eastAsia="Arial" w:hAnsi="Arial"/>
                  <w:sz w:val="16"/>
                  <w:szCs w:val="16"/>
                  <w:u w:val="single" w:color="auto"/>
                  <w:color w:val="0000EE"/>
                </w:rPr>
                <w:t>(incorporated herein by reference to the Registrant's Quarterly Report on Form 10-Q as filed with the SEC on November 13, 2015).</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5"/>
              </w:rPr>
              <w:t>10.11#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68" w:lineRule="exact"/>
              <w:rPr>
                <w:rFonts w:ascii="Arial" w:cs="Arial" w:eastAsia="Arial" w:hAnsi="Arial"/>
                <w:sz w:val="16"/>
                <w:szCs w:val="16"/>
                <w:color w:val="0000EE"/>
                <w:w w:val="96"/>
              </w:rPr>
            </w:pPr>
            <w:hyperlink r:id="rId209">
              <w:r>
                <w:rPr>
                  <w:rFonts w:ascii="Arial" w:cs="Arial" w:eastAsia="Arial" w:hAnsi="Arial"/>
                  <w:sz w:val="16"/>
                  <w:szCs w:val="16"/>
                  <w:color w:val="0000EE"/>
                  <w:w w:val="96"/>
                </w:rPr>
                <w:t>Employment Agreement by and between the Registrant and Christal M.M. Mickle, dated as of May 30, 2014 (incorporated herein by reference to the</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rPr>
            </w:pPr>
            <w:hyperlink r:id="rId209">
              <w:r>
                <w:rPr>
                  <w:rFonts w:ascii="Arial" w:cs="Arial" w:eastAsia="Arial" w:hAnsi="Arial"/>
                  <w:sz w:val="16"/>
                  <w:szCs w:val="16"/>
                  <w:color w:val="0000EE"/>
                </w:rPr>
                <w:t>Registrant's Registration Statement on Form S-1 (File No. 333-202660) as filed with the SEC on March 11, 2015).</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6"/>
              </w:rPr>
              <w:t>10.11.1#</w:t>
            </w:r>
          </w:p>
        </w:tc>
        <w:tc>
          <w:tcPr>
            <w:tcW w:w="180" w:type="dxa"/>
            <w:vAlign w:val="bottom"/>
          </w:tcPr>
          <w:p>
            <w:pPr>
              <w:spacing w:after="0"/>
              <w:rPr>
                <w:sz w:val="14"/>
                <w:szCs w:val="14"/>
                <w:color w:val="auto"/>
              </w:rPr>
            </w:pPr>
          </w:p>
        </w:tc>
        <w:tc>
          <w:tcPr>
            <w:tcW w:w="10120" w:type="dxa"/>
            <w:vAlign w:val="bottom"/>
            <w:tcBorders>
              <w:bottom w:val="single" w:sz="8" w:color="0000EE"/>
            </w:tcBorders>
            <w:gridSpan w:val="18"/>
          </w:tcPr>
          <w:p>
            <w:pPr>
              <w:spacing w:after="0" w:line="171" w:lineRule="exact"/>
              <w:rPr>
                <w:rFonts w:ascii="Arial" w:cs="Arial" w:eastAsia="Arial" w:hAnsi="Arial"/>
                <w:sz w:val="16"/>
                <w:szCs w:val="16"/>
                <w:color w:val="0000EE"/>
                <w:w w:val="94"/>
              </w:rPr>
            </w:pPr>
            <w:hyperlink r:id="rId210">
              <w:r>
                <w:rPr>
                  <w:rFonts w:ascii="Arial" w:cs="Arial" w:eastAsia="Arial" w:hAnsi="Arial"/>
                  <w:sz w:val="16"/>
                  <w:szCs w:val="16"/>
                  <w:color w:val="0000EE"/>
                  <w:w w:val="94"/>
                </w:rPr>
                <w:t>Amendment to Employment Agreement by and between the Registrant and Christal M.M. Mickle, dated as of October 13, 2015 (incorporated herein by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60" w:type="dxa"/>
            <w:vAlign w:val="bottom"/>
            <w:tcBorders>
              <w:bottom w:val="single" w:sz="8" w:color="0000EE"/>
            </w:tcBorders>
            <w:gridSpan w:val="14"/>
          </w:tcPr>
          <w:p>
            <w:pPr>
              <w:spacing w:after="0" w:line="171" w:lineRule="exact"/>
              <w:rPr>
                <w:rFonts w:ascii="Arial" w:cs="Arial" w:eastAsia="Arial" w:hAnsi="Arial"/>
                <w:sz w:val="16"/>
                <w:szCs w:val="16"/>
                <w:color w:val="0000EE"/>
                <w:w w:val="90"/>
              </w:rPr>
            </w:pPr>
            <w:hyperlink r:id="rId210">
              <w:r>
                <w:rPr>
                  <w:rFonts w:ascii="Arial" w:cs="Arial" w:eastAsia="Arial" w:hAnsi="Arial"/>
                  <w:sz w:val="16"/>
                  <w:szCs w:val="16"/>
                  <w:color w:val="0000EE"/>
                  <w:w w:val="90"/>
                </w:rPr>
                <w:t>reference to Exhibit 10.1 to the Registrant's Quarterly Report on Form 10-Q filed with the SEC on November 13, 2015).</w:t>
              </w:r>
            </w:hyperlink>
          </w:p>
        </w:tc>
        <w:tc>
          <w:tcPr>
            <w:tcW w:w="2460" w:type="dxa"/>
            <w:vAlign w:val="bottom"/>
            <w:gridSpan w:val="4"/>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71" w:lineRule="exact"/>
              <w:rPr>
                <w:rFonts w:ascii="Arial" w:cs="Arial" w:eastAsia="Arial" w:hAnsi="Arial"/>
                <w:sz w:val="16"/>
                <w:szCs w:val="16"/>
                <w:color w:val="0000EE"/>
                <w:w w:val="94"/>
              </w:rPr>
            </w:pPr>
            <w:hyperlink r:id="rId211">
              <w:r>
                <w:rPr>
                  <w:rFonts w:ascii="Arial" w:cs="Arial" w:eastAsia="Arial" w:hAnsi="Arial"/>
                  <w:sz w:val="16"/>
                  <w:szCs w:val="16"/>
                  <w:color w:val="0000EE"/>
                  <w:w w:val="94"/>
                </w:rPr>
                <w:t>Employment Agreement by and between the Registrant and Travis C. Mickle, Ph.D., dated as of May 30, 2014 (incorporated herein by reference to the</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00" w:type="dxa"/>
            <w:vAlign w:val="bottom"/>
            <w:tcBorders>
              <w:bottom w:val="single" w:sz="8" w:color="0000EE"/>
            </w:tcBorders>
            <w:gridSpan w:val="13"/>
          </w:tcPr>
          <w:p>
            <w:pPr>
              <w:spacing w:after="0" w:line="171" w:lineRule="exact"/>
              <w:rPr>
                <w:rFonts w:ascii="Arial" w:cs="Arial" w:eastAsia="Arial" w:hAnsi="Arial"/>
                <w:sz w:val="16"/>
                <w:szCs w:val="16"/>
                <w:color w:val="0000EE"/>
                <w:w w:val="90"/>
              </w:rPr>
            </w:pPr>
            <w:hyperlink r:id="rId211">
              <w:r>
                <w:rPr>
                  <w:rFonts w:ascii="Arial" w:cs="Arial" w:eastAsia="Arial" w:hAnsi="Arial"/>
                  <w:sz w:val="16"/>
                  <w:szCs w:val="16"/>
                  <w:color w:val="0000EE"/>
                  <w:w w:val="90"/>
                </w:rPr>
                <w:t>Registrant's Registration Statement on Form S-1 (File No. 333-202660) as filed with the SEC on March 11, 2015).</w:t>
              </w:r>
            </w:hyperlink>
          </w:p>
        </w:tc>
        <w:tc>
          <w:tcPr>
            <w:tcW w:w="2820" w:type="dxa"/>
            <w:vAlign w:val="bottom"/>
            <w:gridSpan w:val="5"/>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10.12.1#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71" w:lineRule="exact"/>
              <w:rPr>
                <w:rFonts w:ascii="Arial" w:cs="Arial" w:eastAsia="Arial" w:hAnsi="Arial"/>
                <w:sz w:val="16"/>
                <w:szCs w:val="16"/>
                <w:color w:val="0000EE"/>
                <w:w w:val="92"/>
              </w:rPr>
            </w:pPr>
            <w:hyperlink r:id="rId212">
              <w:r>
                <w:rPr>
                  <w:rFonts w:ascii="Arial" w:cs="Arial" w:eastAsia="Arial" w:hAnsi="Arial"/>
                  <w:sz w:val="16"/>
                  <w:szCs w:val="16"/>
                  <w:color w:val="0000EE"/>
                  <w:w w:val="92"/>
                </w:rPr>
                <w:t>Amendment to Employment Agreement by and between the Registrant and Travis C. Mickle, Ph.D., dated as of October 13, 2015 (incorporated herein by</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rPr>
            </w:pPr>
            <w:hyperlink r:id="rId212">
              <w:r>
                <w:rPr>
                  <w:rFonts w:ascii="Arial" w:cs="Arial" w:eastAsia="Arial" w:hAnsi="Arial"/>
                  <w:sz w:val="16"/>
                  <w:szCs w:val="16"/>
                  <w:color w:val="0000EE"/>
                </w:rPr>
                <w:t>reference to the Registrant's Quarterly Report on Form 10-Q filed with the SEC on November 13, 2015).</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10.13#</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71" w:lineRule="exact"/>
              <w:rPr>
                <w:rFonts w:ascii="Arial" w:cs="Arial" w:eastAsia="Arial" w:hAnsi="Arial"/>
                <w:sz w:val="16"/>
                <w:szCs w:val="16"/>
                <w:color w:val="0000EE"/>
                <w:w w:val="94"/>
              </w:rPr>
            </w:pPr>
            <w:hyperlink r:id="rId213">
              <w:r>
                <w:rPr>
                  <w:rFonts w:ascii="Arial" w:cs="Arial" w:eastAsia="Arial" w:hAnsi="Arial"/>
                  <w:sz w:val="16"/>
                  <w:szCs w:val="16"/>
                  <w:color w:val="0000EE"/>
                  <w:w w:val="94"/>
                </w:rPr>
                <w:t>Amended and Restated Employment Agreement by and between the Registrant and Sven Guenther, dated as of April 13, 2016 (incorporated herein by</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60" w:type="dxa"/>
            <w:vAlign w:val="bottom"/>
            <w:tcBorders>
              <w:bottom w:val="single" w:sz="8" w:color="0000EE"/>
            </w:tcBorders>
            <w:gridSpan w:val="9"/>
          </w:tcPr>
          <w:p>
            <w:pPr>
              <w:spacing w:after="0" w:line="171" w:lineRule="exact"/>
              <w:rPr>
                <w:rFonts w:ascii="Arial" w:cs="Arial" w:eastAsia="Arial" w:hAnsi="Arial"/>
                <w:sz w:val="16"/>
                <w:szCs w:val="16"/>
                <w:color w:val="0000EE"/>
                <w:w w:val="90"/>
              </w:rPr>
            </w:pPr>
            <w:hyperlink r:id="rId213">
              <w:r>
                <w:rPr>
                  <w:rFonts w:ascii="Arial" w:cs="Arial" w:eastAsia="Arial" w:hAnsi="Arial"/>
                  <w:sz w:val="16"/>
                  <w:szCs w:val="16"/>
                  <w:color w:val="0000EE"/>
                  <w:w w:val="90"/>
                </w:rPr>
                <w:t>reference to the Registrant's Quarterly Report on Form 10-Q as filed with the SEC on May 13, 2016).</w:t>
              </w:r>
            </w:hyperlink>
          </w:p>
        </w:tc>
        <w:tc>
          <w:tcPr>
            <w:tcW w:w="3660" w:type="dxa"/>
            <w:vAlign w:val="bottom"/>
            <w:gridSpan w:val="9"/>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10.14</w:t>
            </w:r>
          </w:p>
        </w:tc>
        <w:tc>
          <w:tcPr>
            <w:tcW w:w="180" w:type="dxa"/>
            <w:vAlign w:val="bottom"/>
          </w:tcPr>
          <w:p>
            <w:pPr>
              <w:spacing w:after="0"/>
              <w:rPr>
                <w:sz w:val="14"/>
                <w:szCs w:val="14"/>
                <w:color w:val="auto"/>
              </w:rPr>
            </w:pPr>
          </w:p>
        </w:tc>
        <w:tc>
          <w:tcPr>
            <w:tcW w:w="10120" w:type="dxa"/>
            <w:vAlign w:val="bottom"/>
            <w:tcBorders>
              <w:bottom w:val="single" w:sz="8" w:color="0000EE"/>
            </w:tcBorders>
            <w:gridSpan w:val="18"/>
          </w:tcPr>
          <w:p>
            <w:pPr>
              <w:spacing w:after="0" w:line="171" w:lineRule="exact"/>
              <w:rPr>
                <w:rFonts w:ascii="Arial" w:cs="Arial" w:eastAsia="Arial" w:hAnsi="Arial"/>
                <w:sz w:val="16"/>
                <w:szCs w:val="16"/>
                <w:color w:val="0000EE"/>
                <w:w w:val="96"/>
              </w:rPr>
            </w:pPr>
            <w:hyperlink r:id="rId214">
              <w:r>
                <w:rPr>
                  <w:rFonts w:ascii="Arial" w:cs="Arial" w:eastAsia="Arial" w:hAnsi="Arial"/>
                  <w:sz w:val="16"/>
                  <w:szCs w:val="16"/>
                  <w:color w:val="0000EE"/>
                  <w:w w:val="96"/>
                </w:rPr>
                <w:t>Lease Agreement, by and between KemPharm, Inc. and BRE/COH FL LLC, dated as of November 3, 2014 (incorporated herein by reference to the</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20" w:type="dxa"/>
            <w:vAlign w:val="bottom"/>
            <w:tcBorders>
              <w:bottom w:val="single" w:sz="8" w:color="0000EE"/>
            </w:tcBorders>
            <w:gridSpan w:val="4"/>
          </w:tcPr>
          <w:p>
            <w:pPr>
              <w:spacing w:after="0" w:line="171" w:lineRule="exact"/>
              <w:rPr>
                <w:rFonts w:ascii="Arial" w:cs="Arial" w:eastAsia="Arial" w:hAnsi="Arial"/>
                <w:sz w:val="16"/>
                <w:szCs w:val="16"/>
                <w:color w:val="0000EE"/>
                <w:w w:val="91"/>
              </w:rPr>
            </w:pPr>
            <w:hyperlink r:id="rId214">
              <w:r>
                <w:rPr>
                  <w:rFonts w:ascii="Arial" w:cs="Arial" w:eastAsia="Arial" w:hAnsi="Arial"/>
                  <w:sz w:val="16"/>
                  <w:szCs w:val="16"/>
                  <w:color w:val="0000EE"/>
                  <w:w w:val="91"/>
                </w:rPr>
                <w:t>Registrant's Annual Report on Form 10-K as filed with the SEC on March 10, 2017).</w:t>
              </w:r>
            </w:hyperlink>
          </w:p>
        </w:tc>
        <w:tc>
          <w:tcPr>
            <w:tcW w:w="4700" w:type="dxa"/>
            <w:vAlign w:val="bottom"/>
            <w:gridSpan w:val="14"/>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10.14.1</w:t>
            </w:r>
          </w:p>
        </w:tc>
        <w:tc>
          <w:tcPr>
            <w:tcW w:w="180" w:type="dxa"/>
            <w:vAlign w:val="bottom"/>
          </w:tcPr>
          <w:p>
            <w:pPr>
              <w:spacing w:after="0"/>
              <w:rPr>
                <w:sz w:val="14"/>
                <w:szCs w:val="14"/>
                <w:color w:val="auto"/>
              </w:rPr>
            </w:pPr>
          </w:p>
        </w:tc>
        <w:tc>
          <w:tcPr>
            <w:tcW w:w="10120" w:type="dxa"/>
            <w:vAlign w:val="bottom"/>
            <w:tcBorders>
              <w:bottom w:val="single" w:sz="8" w:color="0000EE"/>
            </w:tcBorders>
            <w:gridSpan w:val="18"/>
          </w:tcPr>
          <w:p>
            <w:pPr>
              <w:spacing w:after="0" w:line="171" w:lineRule="exact"/>
              <w:rPr>
                <w:rFonts w:ascii="Arial" w:cs="Arial" w:eastAsia="Arial" w:hAnsi="Arial"/>
                <w:sz w:val="16"/>
                <w:szCs w:val="16"/>
                <w:color w:val="0000EE"/>
                <w:w w:val="94"/>
              </w:rPr>
            </w:pPr>
            <w:hyperlink r:id="rId215">
              <w:r>
                <w:rPr>
                  <w:rFonts w:ascii="Arial" w:cs="Arial" w:eastAsia="Arial" w:hAnsi="Arial"/>
                  <w:sz w:val="16"/>
                  <w:szCs w:val="16"/>
                  <w:color w:val="0000EE"/>
                  <w:w w:val="94"/>
                </w:rPr>
                <w:t>First Amendment to the Lease Agreement, by and between KemPharm, Inc. and BRE/COH FL LLC, dated as of April 21, 2015 (incorporated herein by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rPr>
            </w:pPr>
            <w:hyperlink r:id="rId215">
              <w:r>
                <w:rPr>
                  <w:rFonts w:ascii="Arial" w:cs="Arial" w:eastAsia="Arial" w:hAnsi="Arial"/>
                  <w:sz w:val="16"/>
                  <w:szCs w:val="16"/>
                  <w:color w:val="0000EE"/>
                </w:rPr>
                <w:t>reference to the Registrant's Annual Report on Form 10-K as filed with the SEC on March 10, 2017).</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10.14.2</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71" w:lineRule="exact"/>
              <w:rPr>
                <w:rFonts w:ascii="Arial" w:cs="Arial" w:eastAsia="Arial" w:hAnsi="Arial"/>
                <w:sz w:val="16"/>
                <w:szCs w:val="16"/>
                <w:color w:val="0000EE"/>
                <w:w w:val="91"/>
              </w:rPr>
            </w:pPr>
            <w:hyperlink r:id="rId216">
              <w:r>
                <w:rPr>
                  <w:rFonts w:ascii="Arial" w:cs="Arial" w:eastAsia="Arial" w:hAnsi="Arial"/>
                  <w:sz w:val="16"/>
                  <w:szCs w:val="16"/>
                  <w:color w:val="0000EE"/>
                  <w:w w:val="91"/>
                </w:rPr>
                <w:t>Second Amendment to the Lease Agreement, by and between KemPharm, Inc. and BRE/COH FL LLC, dated as of December 22, 2015 (incorporated herein</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rPr>
            </w:pPr>
            <w:hyperlink r:id="rId216">
              <w:r>
                <w:rPr>
                  <w:rFonts w:ascii="Arial" w:cs="Arial" w:eastAsia="Arial" w:hAnsi="Arial"/>
                  <w:sz w:val="16"/>
                  <w:szCs w:val="16"/>
                  <w:color w:val="0000EE"/>
                </w:rPr>
                <w:t>by reference to the Registrant's Annual Report on Form 10-K as filed with the SEC on March 10, 2017).</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10.14.3</w:t>
            </w: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w w:val="94"/>
              </w:rPr>
            </w:pPr>
            <w:hyperlink r:id="rId217">
              <w:r>
                <w:rPr>
                  <w:rFonts w:ascii="Arial" w:cs="Arial" w:eastAsia="Arial" w:hAnsi="Arial"/>
                  <w:sz w:val="16"/>
                  <w:szCs w:val="16"/>
                  <w:color w:val="0000EE"/>
                  <w:w w:val="94"/>
                </w:rPr>
                <w:t>Third Amendment to the Lease Agreement, by and between KemPharm, Inc. and BRE/COH FL LLC, dated as of July 15, 2016 (incorporated herein by</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80" w:type="dxa"/>
            <w:vAlign w:val="bottom"/>
            <w:tcBorders>
              <w:top w:val="single" w:sz="8" w:color="0000EE"/>
            </w:tcBorders>
            <w:gridSpan w:val="16"/>
          </w:tcPr>
          <w:p>
            <w:pPr>
              <w:spacing w:after="0" w:line="171" w:lineRule="exact"/>
              <w:rPr>
                <w:rFonts w:ascii="Arial" w:cs="Arial" w:eastAsia="Arial" w:hAnsi="Arial"/>
                <w:sz w:val="16"/>
                <w:szCs w:val="16"/>
                <w:color w:val="0000EE"/>
              </w:rPr>
            </w:pPr>
            <w:hyperlink r:id="rId217">
              <w:r>
                <w:rPr>
                  <w:rFonts w:ascii="Arial" w:cs="Arial" w:eastAsia="Arial" w:hAnsi="Arial"/>
                  <w:sz w:val="16"/>
                  <w:szCs w:val="16"/>
                  <w:color w:val="0000EE"/>
                </w:rPr>
                <w:t>reference to the Registrant's Annual Report on Form 10-K as filed with the SEC on March 10, 2017).</w:t>
              </w:r>
            </w:hyperlink>
          </w:p>
        </w:tc>
        <w:tc>
          <w:tcPr>
            <w:tcW w:w="40" w:type="dxa"/>
            <w:vAlign w:val="bottom"/>
            <w:gridSpan w:val="2"/>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2" w:lineRule="exact"/>
              <w:rPr>
                <w:sz w:val="20"/>
                <w:szCs w:val="20"/>
                <w:color w:val="auto"/>
              </w:rPr>
            </w:pPr>
            <w:r>
              <w:rPr>
                <w:rFonts w:ascii="Arial" w:cs="Arial" w:eastAsia="Arial" w:hAnsi="Arial"/>
                <w:sz w:val="12"/>
                <w:szCs w:val="12"/>
                <w:color w:val="auto"/>
              </w:rPr>
              <w:t>10.15</w:t>
            </w:r>
            <w:r>
              <w:rPr>
                <w:rFonts w:ascii="Arial" w:cs="Arial" w:eastAsia="Arial" w:hAnsi="Arial"/>
                <w:sz w:val="19"/>
                <w:szCs w:val="19"/>
                <w:color w:val="auto"/>
                <w:vertAlign w:val="superscript"/>
              </w:rPr>
              <w:t>+</w:t>
            </w: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w w:val="92"/>
              </w:rPr>
            </w:pPr>
            <w:hyperlink r:id="rId218">
              <w:r>
                <w:rPr>
                  <w:rFonts w:ascii="Arial" w:cs="Arial" w:eastAsia="Arial" w:hAnsi="Arial"/>
                  <w:sz w:val="16"/>
                  <w:szCs w:val="16"/>
                  <w:color w:val="0000EE"/>
                  <w:w w:val="92"/>
                </w:rPr>
                <w:t>Collaboration and License Agreement by and between the Company and KVK Tech, Inc. dated as of October 25, 2018 (incorporated herein by reference to</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80" w:type="dxa"/>
            <w:vAlign w:val="bottom"/>
            <w:tcBorders>
              <w:top w:val="single" w:sz="8" w:color="0000EE"/>
            </w:tcBorders>
            <w:gridSpan w:val="16"/>
          </w:tcPr>
          <w:p>
            <w:pPr>
              <w:spacing w:after="0" w:line="171" w:lineRule="exact"/>
              <w:rPr>
                <w:rFonts w:ascii="Arial" w:cs="Arial" w:eastAsia="Arial" w:hAnsi="Arial"/>
                <w:sz w:val="16"/>
                <w:szCs w:val="16"/>
                <w:color w:val="0000EE"/>
              </w:rPr>
            </w:pPr>
            <w:hyperlink r:id="rId218">
              <w:r>
                <w:rPr>
                  <w:rFonts w:ascii="Arial" w:cs="Arial" w:eastAsia="Arial" w:hAnsi="Arial"/>
                  <w:sz w:val="16"/>
                  <w:szCs w:val="16"/>
                  <w:color w:val="0000EE"/>
                </w:rPr>
                <w:t>the Registrant's Annual Report on Form 10-K as filed with the SEC on March 1, 2019).</w:t>
              </w:r>
            </w:hyperlink>
          </w:p>
        </w:tc>
        <w:tc>
          <w:tcPr>
            <w:tcW w:w="40" w:type="dxa"/>
            <w:vAlign w:val="bottom"/>
            <w:gridSpan w:val="2"/>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jc w:val="center"/>
              <w:spacing w:after="0" w:line="172" w:lineRule="exact"/>
              <w:rPr>
                <w:sz w:val="20"/>
                <w:szCs w:val="20"/>
                <w:color w:val="auto"/>
              </w:rPr>
            </w:pPr>
            <w:r>
              <w:rPr>
                <w:rFonts w:ascii="Arial" w:cs="Arial" w:eastAsia="Arial" w:hAnsi="Arial"/>
                <w:sz w:val="12"/>
                <w:szCs w:val="12"/>
                <w:color w:val="auto"/>
              </w:rPr>
              <w:t>10.15.1</w:t>
            </w:r>
            <w:r>
              <w:rPr>
                <w:rFonts w:ascii="Arial" w:cs="Arial" w:eastAsia="Arial" w:hAnsi="Arial"/>
                <w:sz w:val="19"/>
                <w:szCs w:val="19"/>
                <w:color w:val="auto"/>
                <w:vertAlign w:val="superscript"/>
              </w:rPr>
              <w:t>+</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71" w:lineRule="exact"/>
              <w:rPr>
                <w:rFonts w:ascii="Arial" w:cs="Arial" w:eastAsia="Arial" w:hAnsi="Arial"/>
                <w:sz w:val="16"/>
                <w:szCs w:val="16"/>
                <w:color w:val="0000EE"/>
                <w:w w:val="90"/>
              </w:rPr>
            </w:pPr>
            <w:hyperlink r:id="rId219">
              <w:r>
                <w:rPr>
                  <w:rFonts w:ascii="Arial" w:cs="Arial" w:eastAsia="Arial" w:hAnsi="Arial"/>
                  <w:sz w:val="16"/>
                  <w:szCs w:val="16"/>
                  <w:color w:val="0000EE"/>
                  <w:w w:val="90"/>
                </w:rPr>
                <w:t>Warrant to Purchase Shares of Common Stock issued to KVK Tech, Inc. dated October 25, 2018 (incorporated herein by reference to the Registrant's Annual</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40" w:type="dxa"/>
            <w:vAlign w:val="bottom"/>
            <w:tcBorders>
              <w:bottom w:val="single" w:sz="8" w:color="0000EE"/>
            </w:tcBorders>
          </w:tcPr>
          <w:p>
            <w:pPr>
              <w:spacing w:after="0" w:line="171" w:lineRule="exact"/>
              <w:rPr>
                <w:rFonts w:ascii="Arial" w:cs="Arial" w:eastAsia="Arial" w:hAnsi="Arial"/>
                <w:sz w:val="16"/>
                <w:szCs w:val="16"/>
                <w:color w:val="0000EE"/>
                <w:w w:val="91"/>
              </w:rPr>
            </w:pPr>
            <w:hyperlink r:id="rId219">
              <w:r>
                <w:rPr>
                  <w:rFonts w:ascii="Arial" w:cs="Arial" w:eastAsia="Arial" w:hAnsi="Arial"/>
                  <w:sz w:val="16"/>
                  <w:szCs w:val="16"/>
                  <w:color w:val="0000EE"/>
                  <w:w w:val="91"/>
                </w:rPr>
                <w:t>Report on Form 10-K as filed with the SEC on March 1, 2019).</w:t>
              </w:r>
            </w:hyperlink>
          </w:p>
        </w:tc>
        <w:tc>
          <w:tcPr>
            <w:tcW w:w="6080" w:type="dxa"/>
            <w:vAlign w:val="bottom"/>
            <w:gridSpan w:val="17"/>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89"/>
              </w:rPr>
              <w:t>10.16</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71" w:lineRule="exact"/>
              <w:rPr>
                <w:rFonts w:ascii="Arial" w:cs="Arial" w:eastAsia="Arial" w:hAnsi="Arial"/>
                <w:sz w:val="16"/>
                <w:szCs w:val="16"/>
                <w:color w:val="0000EE"/>
                <w:w w:val="91"/>
              </w:rPr>
            </w:pPr>
            <w:hyperlink r:id="rId220">
              <w:r>
                <w:rPr>
                  <w:rFonts w:ascii="Arial" w:cs="Arial" w:eastAsia="Arial" w:hAnsi="Arial"/>
                  <w:sz w:val="16"/>
                  <w:szCs w:val="16"/>
                  <w:color w:val="0000EE"/>
                  <w:w w:val="91"/>
                </w:rPr>
                <w:t>Purchase Agreement, dated February 17, 2020, by and between the KemPharm, Inc. and Lincoln Park Capital Fund, LLC. (incorporated herein by reference</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80" w:type="dxa"/>
            <w:vAlign w:val="bottom"/>
            <w:tcBorders>
              <w:bottom w:val="single" w:sz="8" w:color="0000EE"/>
            </w:tcBorders>
            <w:gridSpan w:val="7"/>
          </w:tcPr>
          <w:p>
            <w:pPr>
              <w:spacing w:after="0" w:line="171" w:lineRule="exact"/>
              <w:rPr>
                <w:rFonts w:ascii="Arial" w:cs="Arial" w:eastAsia="Arial" w:hAnsi="Arial"/>
                <w:sz w:val="16"/>
                <w:szCs w:val="16"/>
                <w:color w:val="0000EE"/>
                <w:w w:val="91"/>
              </w:rPr>
            </w:pPr>
            <w:hyperlink r:id="rId220">
              <w:r>
                <w:rPr>
                  <w:rFonts w:ascii="Arial" w:cs="Arial" w:eastAsia="Arial" w:hAnsi="Arial"/>
                  <w:sz w:val="16"/>
                  <w:szCs w:val="16"/>
                  <w:color w:val="0000EE"/>
                  <w:w w:val="91"/>
                </w:rPr>
                <w:t>to the Registrant's Current Report on Form 8-K as filed with the SEC on February 18, 2020).</w:t>
              </w:r>
            </w:hyperlink>
          </w:p>
        </w:tc>
        <w:tc>
          <w:tcPr>
            <w:tcW w:w="4140" w:type="dxa"/>
            <w:vAlign w:val="bottom"/>
            <w:gridSpan w:val="11"/>
          </w:tcPr>
          <w:p>
            <w:pPr>
              <w:spacing w:after="0"/>
              <w:rPr>
                <w:sz w:val="14"/>
                <w:szCs w:val="14"/>
                <w:color w:val="auto"/>
              </w:rPr>
            </w:pPr>
          </w:p>
        </w:tc>
      </w:tr>
      <w:tr>
        <w:trPr>
          <w:trHeight w:val="171"/>
        </w:trPr>
        <w:tc>
          <w:tcPr>
            <w:tcW w:w="980" w:type="dxa"/>
            <w:vAlign w:val="bottom"/>
          </w:tcPr>
          <w:p>
            <w:pPr>
              <w:jc w:val="center"/>
              <w:spacing w:after="0" w:line="172" w:lineRule="exact"/>
              <w:rPr>
                <w:sz w:val="20"/>
                <w:szCs w:val="20"/>
                <w:color w:val="auto"/>
              </w:rPr>
            </w:pPr>
            <w:r>
              <w:rPr>
                <w:rFonts w:ascii="Arial" w:cs="Arial" w:eastAsia="Arial" w:hAnsi="Arial"/>
                <w:sz w:val="12"/>
                <w:szCs w:val="12"/>
                <w:color w:val="auto"/>
              </w:rPr>
              <w:t>10.17</w:t>
            </w:r>
            <w:r>
              <w:rPr>
                <w:rFonts w:ascii="Arial" w:cs="Arial" w:eastAsia="Arial" w:hAnsi="Arial"/>
                <w:sz w:val="19"/>
                <w:szCs w:val="19"/>
                <w:color w:val="auto"/>
                <w:vertAlign w:val="superscript"/>
              </w:rPr>
              <w:t>+</w:t>
            </w:r>
          </w:p>
        </w:tc>
        <w:tc>
          <w:tcPr>
            <w:tcW w:w="180" w:type="dxa"/>
            <w:vAlign w:val="bottom"/>
          </w:tcPr>
          <w:p>
            <w:pPr>
              <w:spacing w:after="0"/>
              <w:rPr>
                <w:sz w:val="14"/>
                <w:szCs w:val="14"/>
                <w:color w:val="auto"/>
              </w:rPr>
            </w:pPr>
          </w:p>
        </w:tc>
        <w:tc>
          <w:tcPr>
            <w:tcW w:w="10120" w:type="dxa"/>
            <w:vAlign w:val="bottom"/>
            <w:tcBorders>
              <w:bottom w:val="single" w:sz="8" w:color="0000EE"/>
            </w:tcBorders>
            <w:gridSpan w:val="18"/>
          </w:tcPr>
          <w:p>
            <w:pPr>
              <w:spacing w:after="0" w:line="171" w:lineRule="exact"/>
              <w:rPr>
                <w:rFonts w:ascii="Arial" w:cs="Arial" w:eastAsia="Arial" w:hAnsi="Arial"/>
                <w:sz w:val="16"/>
                <w:szCs w:val="16"/>
                <w:color w:val="0000EE"/>
                <w:w w:val="96"/>
              </w:rPr>
            </w:pPr>
            <w:hyperlink r:id="rId221">
              <w:r>
                <w:rPr>
                  <w:rFonts w:ascii="Arial" w:cs="Arial" w:eastAsia="Arial" w:hAnsi="Arial"/>
                  <w:sz w:val="16"/>
                  <w:szCs w:val="16"/>
                  <w:color w:val="0000EE"/>
                  <w:w w:val="96"/>
                </w:rPr>
                <w:t>Collaboration and License Agreement, dated as of September 3, 2019, by and between KemPharm, Inc. and Boston Pharmaceuticals Holdings SA.</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80" w:type="dxa"/>
            <w:vAlign w:val="bottom"/>
            <w:tcBorders>
              <w:bottom w:val="single" w:sz="8" w:color="0000EE"/>
            </w:tcBorders>
            <w:gridSpan w:val="15"/>
          </w:tcPr>
          <w:p>
            <w:pPr>
              <w:spacing w:after="0" w:line="171" w:lineRule="exact"/>
              <w:rPr>
                <w:rFonts w:ascii="Arial" w:cs="Arial" w:eastAsia="Arial" w:hAnsi="Arial"/>
                <w:sz w:val="16"/>
                <w:szCs w:val="16"/>
                <w:color w:val="0000EE"/>
                <w:w w:val="90"/>
              </w:rPr>
            </w:pPr>
            <w:hyperlink r:id="rId221">
              <w:r>
                <w:rPr>
                  <w:rFonts w:ascii="Arial" w:cs="Arial" w:eastAsia="Arial" w:hAnsi="Arial"/>
                  <w:sz w:val="16"/>
                  <w:szCs w:val="16"/>
                  <w:color w:val="0000EE"/>
                  <w:w w:val="90"/>
                </w:rPr>
                <w:t>(incorporated herein by reference to the Registrant’s Current Report on Form 8-K as filed with the SEC on September 4, 2019)</w:t>
              </w:r>
            </w:hyperlink>
          </w:p>
        </w:tc>
        <w:tc>
          <w:tcPr>
            <w:tcW w:w="2040" w:type="dxa"/>
            <w:vAlign w:val="bottom"/>
            <w:gridSpan w:val="3"/>
          </w:tcPr>
          <w:p>
            <w:pPr>
              <w:spacing w:after="0"/>
              <w:rPr>
                <w:sz w:val="14"/>
                <w:szCs w:val="14"/>
                <w:color w:val="auto"/>
              </w:rPr>
            </w:pPr>
          </w:p>
        </w:tc>
      </w:tr>
      <w:tr>
        <w:trPr>
          <w:trHeight w:val="195"/>
        </w:trPr>
        <w:tc>
          <w:tcPr>
            <w:tcW w:w="98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80" w:type="dxa"/>
            <w:vAlign w:val="bottom"/>
          </w:tcPr>
          <w:p>
            <w:pPr>
              <w:spacing w:after="0"/>
              <w:rPr>
                <w:sz w:val="16"/>
                <w:szCs w:val="16"/>
                <w:color w:val="auto"/>
              </w:rPr>
            </w:pPr>
          </w:p>
        </w:tc>
        <w:tc>
          <w:tcPr>
            <w:tcW w:w="10120" w:type="dxa"/>
            <w:vAlign w:val="bottom"/>
            <w:gridSpan w:val="18"/>
          </w:tcPr>
          <w:p>
            <w:pPr>
              <w:spacing w:after="0"/>
              <w:rPr>
                <w:rFonts w:ascii="Arial" w:cs="Arial" w:eastAsia="Arial" w:hAnsi="Arial"/>
                <w:sz w:val="16"/>
                <w:szCs w:val="16"/>
                <w:color w:val="0000EE"/>
                <w:w w:val="93"/>
              </w:rPr>
            </w:pPr>
            <w:hyperlink r:id="rId222">
              <w:r>
                <w:rPr>
                  <w:rFonts w:ascii="Arial" w:cs="Arial" w:eastAsia="Arial" w:hAnsi="Arial"/>
                  <w:sz w:val="16"/>
                  <w:szCs w:val="16"/>
                  <w:u w:val="single" w:color="auto"/>
                  <w:color w:val="0000EE"/>
                  <w:w w:val="93"/>
                </w:rPr>
                <w:t>Form of Inducement Letter (incorporated herein by reference to the Registrant's Current Report on Form 8-K as filed with the SEC on January 26, 2021)</w:t>
              </w:r>
              <w:r>
                <w:rPr>
                  <w:rFonts w:ascii="Arial" w:cs="Arial" w:eastAsia="Arial" w:hAnsi="Arial"/>
                  <w:sz w:val="16"/>
                  <w:szCs w:val="16"/>
                  <w:color w:val="0000EE"/>
                  <w:w w:val="93"/>
                </w:rPr>
                <w:t>.</w:t>
              </w:r>
            </w:hyperlink>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6"/>
              </w:rPr>
              <w:t>23.1*</w:t>
            </w:r>
          </w:p>
        </w:tc>
        <w:tc>
          <w:tcPr>
            <w:tcW w:w="180" w:type="dxa"/>
            <w:vAlign w:val="bottom"/>
          </w:tcPr>
          <w:p>
            <w:pPr>
              <w:spacing w:after="0"/>
              <w:rPr>
                <w:sz w:val="16"/>
                <w:szCs w:val="16"/>
                <w:color w:val="auto"/>
              </w:rPr>
            </w:pPr>
          </w:p>
        </w:tc>
        <w:tc>
          <w:tcPr>
            <w:tcW w:w="10120" w:type="dxa"/>
            <w:vAlign w:val="bottom"/>
            <w:gridSpan w:val="18"/>
          </w:tcPr>
          <w:p>
            <w:pPr>
              <w:spacing w:after="0"/>
              <w:rPr>
                <w:rFonts w:ascii="Arial" w:cs="Arial" w:eastAsia="Arial" w:hAnsi="Arial"/>
                <w:sz w:val="16"/>
                <w:szCs w:val="16"/>
                <w:u w:val="single" w:color="auto"/>
                <w:color w:val="0000EE"/>
              </w:rPr>
            </w:pPr>
            <w:hyperlink w:anchor="page177">
              <w:r>
                <w:rPr>
                  <w:rFonts w:ascii="Arial" w:cs="Arial" w:eastAsia="Arial" w:hAnsi="Arial"/>
                  <w:sz w:val="16"/>
                  <w:szCs w:val="16"/>
                  <w:u w:val="single" w:color="auto"/>
                  <w:color w:val="0000EE"/>
                </w:rPr>
                <w:t>Consent of RSM US LLP, Independent Registered Public Accounting Firm.</w:t>
              </w:r>
            </w:hyperlink>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6"/>
              </w:rPr>
              <w:t>24.1*</w:t>
            </w:r>
          </w:p>
        </w:tc>
        <w:tc>
          <w:tcPr>
            <w:tcW w:w="180" w:type="dxa"/>
            <w:vAlign w:val="bottom"/>
          </w:tcPr>
          <w:p>
            <w:pPr>
              <w:spacing w:after="0"/>
              <w:rPr>
                <w:sz w:val="16"/>
                <w:szCs w:val="16"/>
                <w:color w:val="auto"/>
              </w:rPr>
            </w:pPr>
          </w:p>
        </w:tc>
        <w:tc>
          <w:tcPr>
            <w:tcW w:w="10120" w:type="dxa"/>
            <w:vAlign w:val="bottom"/>
            <w:gridSpan w:val="18"/>
          </w:tcPr>
          <w:p>
            <w:pPr>
              <w:spacing w:after="0"/>
              <w:rPr>
                <w:rFonts w:ascii="Arial" w:cs="Arial" w:eastAsia="Arial" w:hAnsi="Arial"/>
                <w:sz w:val="16"/>
                <w:szCs w:val="16"/>
                <w:u w:val="single" w:color="auto"/>
                <w:color w:val="0000EE"/>
              </w:rPr>
            </w:pPr>
            <w:hyperlink w:anchor="page167">
              <w:r>
                <w:rPr>
                  <w:rFonts w:ascii="Arial" w:cs="Arial" w:eastAsia="Arial" w:hAnsi="Arial"/>
                  <w:sz w:val="16"/>
                  <w:szCs w:val="16"/>
                  <w:u w:val="single" w:color="auto"/>
                  <w:color w:val="0000EE"/>
                </w:rPr>
                <w:t>Power of Attorney (included on signature page).</w:t>
              </w:r>
            </w:hyperlink>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180" w:type="dxa"/>
            <w:vAlign w:val="bottom"/>
          </w:tcPr>
          <w:p>
            <w:pPr>
              <w:spacing w:after="0"/>
              <w:rPr>
                <w:sz w:val="16"/>
                <w:szCs w:val="16"/>
                <w:color w:val="auto"/>
              </w:rPr>
            </w:pPr>
          </w:p>
        </w:tc>
        <w:tc>
          <w:tcPr>
            <w:tcW w:w="10120" w:type="dxa"/>
            <w:vAlign w:val="bottom"/>
            <w:gridSpan w:val="18"/>
          </w:tcPr>
          <w:p>
            <w:pPr>
              <w:spacing w:after="0"/>
              <w:rPr>
                <w:rFonts w:ascii="Arial" w:cs="Arial" w:eastAsia="Arial" w:hAnsi="Arial"/>
                <w:sz w:val="16"/>
                <w:szCs w:val="16"/>
                <w:u w:val="single" w:color="auto"/>
                <w:color w:val="0000EE"/>
                <w:w w:val="98"/>
              </w:rPr>
            </w:pPr>
            <w:hyperlink w:anchor="page178">
              <w:r>
                <w:rPr>
                  <w:rFonts w:ascii="Arial" w:cs="Arial" w:eastAsia="Arial" w:hAnsi="Arial"/>
                  <w:sz w:val="16"/>
                  <w:szCs w:val="16"/>
                  <w:u w:val="single" w:color="auto"/>
                  <w:color w:val="0000EE"/>
                  <w:w w:val="98"/>
                </w:rPr>
                <w:t>Certification of the Principal Executive Officer pursuant to Rule 13a-14(a) or Rule 15d-14(a) of the Securities Exchange Act of 1934, as amended.</w:t>
              </w:r>
            </w:hyperlink>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180" w:type="dxa"/>
            <w:vAlign w:val="bottom"/>
          </w:tcPr>
          <w:p>
            <w:pPr>
              <w:spacing w:after="0"/>
              <w:rPr>
                <w:sz w:val="16"/>
                <w:szCs w:val="16"/>
                <w:color w:val="auto"/>
              </w:rPr>
            </w:pPr>
          </w:p>
        </w:tc>
        <w:tc>
          <w:tcPr>
            <w:tcW w:w="10120" w:type="dxa"/>
            <w:vAlign w:val="bottom"/>
            <w:gridSpan w:val="18"/>
          </w:tcPr>
          <w:p>
            <w:pPr>
              <w:spacing w:after="0"/>
              <w:rPr>
                <w:rFonts w:ascii="Arial" w:cs="Arial" w:eastAsia="Arial" w:hAnsi="Arial"/>
                <w:sz w:val="16"/>
                <w:szCs w:val="16"/>
                <w:u w:val="single" w:color="auto"/>
                <w:color w:val="0000EE"/>
                <w:w w:val="98"/>
              </w:rPr>
            </w:pPr>
            <w:hyperlink w:anchor="page179">
              <w:r>
                <w:rPr>
                  <w:rFonts w:ascii="Arial" w:cs="Arial" w:eastAsia="Arial" w:hAnsi="Arial"/>
                  <w:sz w:val="16"/>
                  <w:szCs w:val="16"/>
                  <w:u w:val="single" w:color="auto"/>
                  <w:color w:val="0000EE"/>
                  <w:w w:val="98"/>
                </w:rPr>
                <w:t>Certification of the Principal Financial Officer pursuant to Rule 13a-14(a) or Rule 15d-14(a) of the Securities Exchange Act of 1934, as amended.</w:t>
              </w:r>
            </w:hyperlink>
          </w:p>
        </w:tc>
      </w:tr>
      <w:tr>
        <w:trPr>
          <w:trHeight w:val="168"/>
        </w:trPr>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96"/>
              </w:rPr>
              <w:t>32.1*</w:t>
            </w:r>
          </w:p>
        </w:tc>
        <w:tc>
          <w:tcPr>
            <w:tcW w:w="180" w:type="dxa"/>
            <w:vAlign w:val="bottom"/>
          </w:tcPr>
          <w:p>
            <w:pPr>
              <w:spacing w:after="0"/>
              <w:rPr>
                <w:sz w:val="14"/>
                <w:szCs w:val="14"/>
                <w:color w:val="auto"/>
              </w:rPr>
            </w:pPr>
          </w:p>
        </w:tc>
        <w:tc>
          <w:tcPr>
            <w:tcW w:w="10100" w:type="dxa"/>
            <w:vAlign w:val="bottom"/>
            <w:tcBorders>
              <w:bottom w:val="single" w:sz="8" w:color="0000EE"/>
            </w:tcBorders>
            <w:gridSpan w:val="17"/>
          </w:tcPr>
          <w:p>
            <w:pPr>
              <w:spacing w:after="0" w:line="168" w:lineRule="exact"/>
              <w:rPr>
                <w:rFonts w:ascii="Arial" w:cs="Arial" w:eastAsia="Arial" w:hAnsi="Arial"/>
                <w:sz w:val="16"/>
                <w:szCs w:val="16"/>
                <w:color w:val="0000EE"/>
                <w:w w:val="91"/>
              </w:rPr>
            </w:pPr>
            <w:hyperlink w:anchor="page180">
              <w:r>
                <w:rPr>
                  <w:rFonts w:ascii="Arial" w:cs="Arial" w:eastAsia="Arial" w:hAnsi="Arial"/>
                  <w:sz w:val="16"/>
                  <w:szCs w:val="16"/>
                  <w:color w:val="0000EE"/>
                  <w:w w:val="91"/>
                </w:rPr>
                <w:t>Certification of the Principal Executive Officer pursuant to Rule 13a-14(b) of the Securities Exchange Act of 1934, as amended, and 18 U.S.C. Section 1350,</w:t>
              </w:r>
            </w:hyperlink>
          </w:p>
        </w:tc>
        <w:tc>
          <w:tcPr>
            <w:tcW w:w="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60" w:type="dxa"/>
            <w:vAlign w:val="bottom"/>
            <w:tcBorders>
              <w:bottom w:val="single" w:sz="8" w:color="0000EE"/>
            </w:tcBorders>
            <w:gridSpan w:val="3"/>
          </w:tcPr>
          <w:p>
            <w:pPr>
              <w:spacing w:after="0" w:line="171" w:lineRule="exact"/>
              <w:rPr>
                <w:rFonts w:ascii="Arial" w:cs="Arial" w:eastAsia="Arial" w:hAnsi="Arial"/>
                <w:sz w:val="16"/>
                <w:szCs w:val="16"/>
                <w:color w:val="0000EE"/>
                <w:w w:val="89"/>
              </w:rPr>
            </w:pPr>
            <w:hyperlink w:anchor="page180">
              <w:r>
                <w:rPr>
                  <w:rFonts w:ascii="Arial" w:cs="Arial" w:eastAsia="Arial" w:hAnsi="Arial"/>
                  <w:sz w:val="16"/>
                  <w:szCs w:val="16"/>
                  <w:color w:val="0000EE"/>
                  <w:w w:val="89"/>
                </w:rPr>
                <w:t>as adopted pursuant to Section 906 of the Sarbanes-Oxley Act of 2002. (1)</w:t>
              </w:r>
            </w:hyperlink>
          </w:p>
        </w:tc>
        <w:tc>
          <w:tcPr>
            <w:tcW w:w="5360" w:type="dxa"/>
            <w:vAlign w:val="bottom"/>
            <w:gridSpan w:val="15"/>
          </w:tcPr>
          <w:p>
            <w:pPr>
              <w:spacing w:after="0"/>
              <w:rPr>
                <w:sz w:val="14"/>
                <w:szCs w:val="14"/>
                <w:color w:val="auto"/>
              </w:rPr>
            </w:pP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6"/>
                <w:szCs w:val="16"/>
                <w:color w:val="auto"/>
                <w:w w:val="96"/>
              </w:rPr>
              <w:t>32.2*</w:t>
            </w:r>
          </w:p>
        </w:tc>
        <w:tc>
          <w:tcPr>
            <w:tcW w:w="180" w:type="dxa"/>
            <w:vAlign w:val="bottom"/>
          </w:tcPr>
          <w:p>
            <w:pPr>
              <w:spacing w:after="0"/>
              <w:rPr>
                <w:sz w:val="14"/>
                <w:szCs w:val="14"/>
                <w:color w:val="auto"/>
              </w:rPr>
            </w:pPr>
          </w:p>
        </w:tc>
        <w:tc>
          <w:tcPr>
            <w:tcW w:w="10120" w:type="dxa"/>
            <w:vAlign w:val="bottom"/>
            <w:gridSpan w:val="18"/>
          </w:tcPr>
          <w:p>
            <w:pPr>
              <w:spacing w:after="0" w:line="171" w:lineRule="exact"/>
              <w:rPr>
                <w:rFonts w:ascii="Arial" w:cs="Arial" w:eastAsia="Arial" w:hAnsi="Arial"/>
                <w:sz w:val="16"/>
                <w:szCs w:val="16"/>
                <w:color w:val="0000EE"/>
                <w:w w:val="91"/>
              </w:rPr>
            </w:pPr>
            <w:hyperlink w:anchor="page181">
              <w:r>
                <w:rPr>
                  <w:rFonts w:ascii="Arial" w:cs="Arial" w:eastAsia="Arial" w:hAnsi="Arial"/>
                  <w:sz w:val="16"/>
                  <w:szCs w:val="16"/>
                  <w:color w:val="0000EE"/>
                  <w:w w:val="91"/>
                </w:rPr>
                <w:t>Certification of the Principal Financial Officer pursuant to Rule 13a-14(b) of the Securities Exchange Act of 1934, as amended, and 18 U.S.C. Section 1350,</w:t>
              </w:r>
            </w:hyperlink>
          </w:p>
        </w:tc>
      </w:tr>
      <w:tr>
        <w:trPr>
          <w:trHeight w:val="17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80" w:type="dxa"/>
            <w:vAlign w:val="bottom"/>
            <w:tcBorders>
              <w:top w:val="single" w:sz="8" w:color="0000EE"/>
            </w:tcBorders>
            <w:gridSpan w:val="16"/>
          </w:tcPr>
          <w:p>
            <w:pPr>
              <w:spacing w:after="0" w:line="171" w:lineRule="exact"/>
              <w:rPr>
                <w:rFonts w:ascii="Arial" w:cs="Arial" w:eastAsia="Arial" w:hAnsi="Arial"/>
                <w:sz w:val="16"/>
                <w:szCs w:val="16"/>
                <w:color w:val="0000EE"/>
              </w:rPr>
            </w:pPr>
            <w:hyperlink w:anchor="page181">
              <w:r>
                <w:rPr>
                  <w:rFonts w:ascii="Arial" w:cs="Arial" w:eastAsia="Arial" w:hAnsi="Arial"/>
                  <w:sz w:val="16"/>
                  <w:szCs w:val="16"/>
                  <w:color w:val="0000EE"/>
                </w:rPr>
                <w:t>as adopted pursuant to Section 906 of the Sarbanes-Oxley Act of 2002. (1)</w:t>
              </w:r>
            </w:hyperlink>
          </w:p>
        </w:tc>
        <w:tc>
          <w:tcPr>
            <w:tcW w:w="40" w:type="dxa"/>
            <w:vAlign w:val="bottom"/>
            <w:gridSpan w:val="2"/>
          </w:tcPr>
          <w:p>
            <w:pPr>
              <w:spacing w:after="0"/>
              <w:rPr>
                <w:sz w:val="14"/>
                <w:szCs w:val="14"/>
                <w:color w:val="auto"/>
              </w:rPr>
            </w:pPr>
          </w:p>
        </w:tc>
      </w:tr>
      <w:tr>
        <w:trPr>
          <w:trHeight w:val="195"/>
        </w:trPr>
        <w:tc>
          <w:tcPr>
            <w:tcW w:w="980" w:type="dxa"/>
            <w:vAlign w:val="bottom"/>
          </w:tcPr>
          <w:p>
            <w:pPr>
              <w:jc w:val="center"/>
              <w:spacing w:after="0"/>
              <w:rPr>
                <w:sz w:val="20"/>
                <w:szCs w:val="20"/>
                <w:color w:val="auto"/>
              </w:rPr>
            </w:pPr>
            <w:r>
              <w:rPr>
                <w:rFonts w:ascii="Arial" w:cs="Arial" w:eastAsia="Arial" w:hAnsi="Arial"/>
                <w:sz w:val="16"/>
                <w:szCs w:val="16"/>
                <w:color w:val="auto"/>
                <w:w w:val="99"/>
              </w:rPr>
              <w:t>101.INS**</w:t>
            </w:r>
          </w:p>
        </w:tc>
        <w:tc>
          <w:tcPr>
            <w:tcW w:w="180" w:type="dxa"/>
            <w:vAlign w:val="bottom"/>
          </w:tcPr>
          <w:p>
            <w:pPr>
              <w:spacing w:after="0"/>
              <w:rPr>
                <w:sz w:val="16"/>
                <w:szCs w:val="16"/>
                <w:color w:val="auto"/>
              </w:rPr>
            </w:pPr>
          </w:p>
        </w:tc>
        <w:tc>
          <w:tcPr>
            <w:tcW w:w="474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rPr>
              <w:t>XBRL Instance Document.</w:t>
            </w:r>
          </w:p>
        </w:tc>
        <w:tc>
          <w:tcPr>
            <w:tcW w:w="5380" w:type="dxa"/>
            <w:vAlign w:val="bottom"/>
            <w:gridSpan w:val="16"/>
          </w:tcPr>
          <w:p>
            <w:pPr>
              <w:spacing w:after="0"/>
              <w:rPr>
                <w:sz w:val="16"/>
                <w:szCs w:val="16"/>
                <w:color w:val="auto"/>
              </w:rPr>
            </w:pPr>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5"/>
              </w:rPr>
              <w:t>101.SCH**</w:t>
            </w:r>
          </w:p>
        </w:tc>
        <w:tc>
          <w:tcPr>
            <w:tcW w:w="180" w:type="dxa"/>
            <w:vAlign w:val="bottom"/>
          </w:tcPr>
          <w:p>
            <w:pPr>
              <w:spacing w:after="0"/>
              <w:rPr>
                <w:sz w:val="16"/>
                <w:szCs w:val="16"/>
                <w:color w:val="auto"/>
              </w:rPr>
            </w:pPr>
          </w:p>
        </w:tc>
        <w:tc>
          <w:tcPr>
            <w:tcW w:w="1012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8"/>
              </w:rPr>
              <w:t>101.CAL**</w:t>
            </w:r>
          </w:p>
        </w:tc>
        <w:tc>
          <w:tcPr>
            <w:tcW w:w="180" w:type="dxa"/>
            <w:vAlign w:val="bottom"/>
          </w:tcPr>
          <w:p>
            <w:pPr>
              <w:spacing w:after="0"/>
              <w:rPr>
                <w:sz w:val="16"/>
                <w:szCs w:val="16"/>
                <w:color w:val="auto"/>
              </w:rPr>
            </w:pPr>
          </w:p>
        </w:tc>
        <w:tc>
          <w:tcPr>
            <w:tcW w:w="1012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w w:val="97"/>
              </w:rPr>
              <w:t>101.DEF**</w:t>
            </w:r>
          </w:p>
        </w:tc>
        <w:tc>
          <w:tcPr>
            <w:tcW w:w="180" w:type="dxa"/>
            <w:vAlign w:val="bottom"/>
          </w:tcPr>
          <w:p>
            <w:pPr>
              <w:spacing w:after="0"/>
              <w:rPr>
                <w:sz w:val="16"/>
                <w:szCs w:val="16"/>
                <w:color w:val="auto"/>
              </w:rPr>
            </w:pPr>
          </w:p>
        </w:tc>
        <w:tc>
          <w:tcPr>
            <w:tcW w:w="1012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91"/>
        </w:trPr>
        <w:tc>
          <w:tcPr>
            <w:tcW w:w="980" w:type="dxa"/>
            <w:vAlign w:val="bottom"/>
          </w:tcPr>
          <w:p>
            <w:pPr>
              <w:jc w:val="center"/>
              <w:spacing w:after="0"/>
              <w:rPr>
                <w:sz w:val="20"/>
                <w:szCs w:val="20"/>
                <w:color w:val="auto"/>
              </w:rPr>
            </w:pPr>
            <w:r>
              <w:rPr>
                <w:rFonts w:ascii="Arial" w:cs="Arial" w:eastAsia="Arial" w:hAnsi="Arial"/>
                <w:sz w:val="16"/>
                <w:szCs w:val="16"/>
                <w:color w:val="auto"/>
              </w:rPr>
              <w:t>101.LAB**</w:t>
            </w:r>
          </w:p>
        </w:tc>
        <w:tc>
          <w:tcPr>
            <w:tcW w:w="180" w:type="dxa"/>
            <w:vAlign w:val="bottom"/>
          </w:tcPr>
          <w:p>
            <w:pPr>
              <w:spacing w:after="0"/>
              <w:rPr>
                <w:sz w:val="16"/>
                <w:szCs w:val="16"/>
                <w:color w:val="auto"/>
              </w:rPr>
            </w:pPr>
          </w:p>
        </w:tc>
        <w:tc>
          <w:tcPr>
            <w:tcW w:w="1012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04"/>
        </w:trPr>
        <w:tc>
          <w:tcPr>
            <w:tcW w:w="980" w:type="dxa"/>
            <w:vAlign w:val="bottom"/>
          </w:tcPr>
          <w:p>
            <w:pPr>
              <w:jc w:val="center"/>
              <w:spacing w:after="0"/>
              <w:rPr>
                <w:sz w:val="20"/>
                <w:szCs w:val="20"/>
                <w:color w:val="auto"/>
              </w:rPr>
            </w:pPr>
            <w:r>
              <w:rPr>
                <w:rFonts w:ascii="Arial" w:cs="Arial" w:eastAsia="Arial" w:hAnsi="Arial"/>
                <w:sz w:val="16"/>
                <w:szCs w:val="16"/>
                <w:color w:val="auto"/>
                <w:w w:val="96"/>
              </w:rPr>
              <w:t>101.PRE**</w:t>
            </w:r>
          </w:p>
        </w:tc>
        <w:tc>
          <w:tcPr>
            <w:tcW w:w="180" w:type="dxa"/>
            <w:vAlign w:val="bottom"/>
          </w:tcPr>
          <w:p>
            <w:pPr>
              <w:spacing w:after="0"/>
              <w:rPr>
                <w:sz w:val="17"/>
                <w:szCs w:val="17"/>
                <w:color w:val="auto"/>
              </w:rPr>
            </w:pPr>
          </w:p>
        </w:tc>
        <w:tc>
          <w:tcPr>
            <w:tcW w:w="10120" w:type="dxa"/>
            <w:vAlign w:val="bottom"/>
            <w:gridSpan w:val="18"/>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90" w:lineRule="exact"/>
        <w:rPr>
          <w:sz w:val="20"/>
          <w:szCs w:val="20"/>
          <w:color w:val="auto"/>
        </w:rPr>
      </w:pPr>
    </w:p>
    <w:p>
      <w:pPr>
        <w:ind w:left="1160" w:hanging="708"/>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4819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jc w:val="both"/>
        <w:ind w:left="1160" w:right="20" w:hanging="748"/>
        <w:spacing w:after="0" w:line="249" w:lineRule="auto"/>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Attached as Exhibit 101 to this Annual Report on Form 10-K, formatted in XBRL (Extensible Business Reporting Language): (i) Balance Sheets, (ii) Statements of Operations, (iii) Statements of Changes in Stockholders’ Deficit, (iv) Statements of Cash Flows, and (v) Notes to Financial Statements, tagged as blocks of text and including detailed tags.</w:t>
      </w:r>
    </w:p>
    <w:p>
      <w:pPr>
        <w:spacing w:after="0" w:line="1" w:lineRule="exact"/>
        <w:rPr>
          <w:sz w:val="20"/>
          <w:szCs w:val="20"/>
          <w:color w:val="auto"/>
        </w:rPr>
      </w:pPr>
    </w:p>
    <w:p>
      <w:pPr>
        <w:ind w:left="1160" w:hanging="708"/>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7" w:lineRule="exact"/>
        <w:rPr>
          <w:sz w:val="20"/>
          <w:szCs w:val="20"/>
          <w:color w:val="auto"/>
        </w:rPr>
      </w:pPr>
    </w:p>
    <w:p>
      <w:pPr>
        <w:ind w:left="1160" w:hanging="713"/>
        <w:spacing w:after="0"/>
        <w:tabs>
          <w:tab w:leader="none" w:pos="11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Certain portions of the exhibit, identified by the mark, “[*]”, have been omitted because such portions contained information that is both (i) not material and</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(ii) would likely cause competitive harm if publicly disclosed.</w:t>
      </w:r>
    </w:p>
    <w:p>
      <w:pPr>
        <w:spacing w:after="0" w:line="7" w:lineRule="exact"/>
        <w:rPr>
          <w:sz w:val="20"/>
          <w:szCs w:val="20"/>
          <w:color w:val="auto"/>
        </w:rPr>
      </w:pPr>
    </w:p>
    <w:p>
      <w:pPr>
        <w:jc w:val="both"/>
        <w:ind w:left="1160" w:right="20" w:hanging="761"/>
        <w:spacing w:after="0" w:line="254" w:lineRule="auto"/>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This certification accompanies the Annual Report on Form 10-K to which it relates, is not deemed filed with the SEC and is not to be incorporated by reference into any filing of the Registrant under the Securities Act or the Exchange Act (whether made before or after the date of the Annual Report on Form 10-K), irrespective of any general incorporation language contained in such filing.</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7780" w:type="dxa"/>
            <w:vAlign w:val="bottom"/>
            <w:gridSpan w:val="2"/>
          </w:tcPr>
          <w:p>
            <w:pPr>
              <w:ind w:left="3460"/>
              <w:spacing w:after="0"/>
              <w:rPr>
                <w:sz w:val="20"/>
                <w:szCs w:val="20"/>
                <w:color w:val="auto"/>
              </w:rPr>
            </w:pPr>
            <w:r>
              <w:rPr>
                <w:rFonts w:ascii="Arial" w:cs="Arial" w:eastAsia="Arial" w:hAnsi="Arial"/>
                <w:sz w:val="16"/>
                <w:szCs w:val="16"/>
                <w:color w:val="auto"/>
              </w:rPr>
              <w:t>KemPharm, Inc.</w:t>
            </w:r>
          </w:p>
        </w:tc>
      </w:tr>
      <w:tr>
        <w:trPr>
          <w:trHeight w:val="382"/>
        </w:trPr>
        <w:tc>
          <w:tcPr>
            <w:tcW w:w="3480" w:type="dxa"/>
            <w:vAlign w:val="bottom"/>
          </w:tcPr>
          <w:p>
            <w:pPr>
              <w:spacing w:after="0"/>
              <w:rPr>
                <w:sz w:val="20"/>
                <w:szCs w:val="20"/>
                <w:color w:val="auto"/>
              </w:rPr>
            </w:pPr>
            <w:r>
              <w:rPr>
                <w:rFonts w:ascii="Arial" w:cs="Arial" w:eastAsia="Arial" w:hAnsi="Arial"/>
                <w:sz w:val="16"/>
                <w:szCs w:val="16"/>
                <w:color w:val="auto"/>
              </w:rPr>
              <w:t>Dated: March 11, 2021</w:t>
            </w:r>
          </w:p>
        </w:tc>
        <w:tc>
          <w:tcPr>
            <w:tcW w:w="3840" w:type="dxa"/>
            <w:vAlign w:val="bottom"/>
          </w:tcPr>
          <w:p>
            <w:pPr>
              <w:ind w:left="346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Travis C. Mickle</w:t>
            </w:r>
          </w:p>
        </w:tc>
      </w:tr>
      <w:tr>
        <w:trPr>
          <w:trHeight w:val="171"/>
        </w:trPr>
        <w:tc>
          <w:tcPr>
            <w:tcW w:w="34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940" w:type="dxa"/>
            <w:vAlign w:val="bottom"/>
          </w:tcPr>
          <w:p>
            <w:pPr>
              <w:spacing w:after="0" w:line="171" w:lineRule="exact"/>
              <w:rPr>
                <w:sz w:val="20"/>
                <w:szCs w:val="20"/>
                <w:color w:val="auto"/>
              </w:rPr>
            </w:pPr>
            <w:r>
              <w:rPr>
                <w:rFonts w:ascii="Arial" w:cs="Arial" w:eastAsia="Arial" w:hAnsi="Arial"/>
                <w:sz w:val="16"/>
                <w:szCs w:val="16"/>
                <w:color w:val="auto"/>
              </w:rPr>
              <w:t>Travis C. Mickle, Ph.D.</w:t>
            </w:r>
          </w:p>
        </w:tc>
      </w:tr>
      <w:tr>
        <w:trPr>
          <w:trHeight w:val="191"/>
        </w:trPr>
        <w:tc>
          <w:tcPr>
            <w:tcW w:w="3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04"/>
        </w:trPr>
        <w:tc>
          <w:tcPr>
            <w:tcW w:w="3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382"/>
        </w:trPr>
        <w:tc>
          <w:tcPr>
            <w:tcW w:w="3480" w:type="dxa"/>
            <w:vAlign w:val="bottom"/>
          </w:tcPr>
          <w:p>
            <w:pPr>
              <w:spacing w:after="0"/>
              <w:rPr>
                <w:sz w:val="20"/>
                <w:szCs w:val="20"/>
                <w:color w:val="auto"/>
              </w:rPr>
            </w:pPr>
            <w:r>
              <w:rPr>
                <w:rFonts w:ascii="Arial" w:cs="Arial" w:eastAsia="Arial" w:hAnsi="Arial"/>
                <w:sz w:val="16"/>
                <w:szCs w:val="16"/>
                <w:color w:val="auto"/>
              </w:rPr>
              <w:t>Dated: March 11, 2021</w:t>
            </w:r>
          </w:p>
        </w:tc>
        <w:tc>
          <w:tcPr>
            <w:tcW w:w="3840" w:type="dxa"/>
            <w:vAlign w:val="bottom"/>
          </w:tcPr>
          <w:p>
            <w:pPr>
              <w:ind w:left="346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 LaDuane Clifton</w:t>
            </w:r>
          </w:p>
        </w:tc>
      </w:tr>
      <w:tr>
        <w:trPr>
          <w:trHeight w:val="171"/>
        </w:trPr>
        <w:tc>
          <w:tcPr>
            <w:tcW w:w="34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940" w:type="dxa"/>
            <w:vAlign w:val="bottom"/>
          </w:tcPr>
          <w:p>
            <w:pPr>
              <w:spacing w:after="0" w:line="171" w:lineRule="exact"/>
              <w:rPr>
                <w:sz w:val="20"/>
                <w:szCs w:val="20"/>
                <w:color w:val="auto"/>
              </w:rPr>
            </w:pPr>
            <w:r>
              <w:rPr>
                <w:rFonts w:ascii="Arial" w:cs="Arial" w:eastAsia="Arial" w:hAnsi="Arial"/>
                <w:sz w:val="16"/>
                <w:szCs w:val="16"/>
                <w:color w:val="auto"/>
              </w:rPr>
              <w:t>R. LaDuane Clifton, CPA</w:t>
            </w:r>
          </w:p>
        </w:tc>
      </w:tr>
      <w:tr>
        <w:trPr>
          <w:trHeight w:val="191"/>
        </w:trPr>
        <w:tc>
          <w:tcPr>
            <w:tcW w:w="3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Chief Financial Officer, Secretary and Treasurer</w:t>
            </w:r>
          </w:p>
        </w:tc>
      </w:tr>
      <w:tr>
        <w:trPr>
          <w:trHeight w:val="204"/>
        </w:trPr>
        <w:tc>
          <w:tcPr>
            <w:tcW w:w="3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382"/>
        </w:trPr>
        <w:tc>
          <w:tcPr>
            <w:tcW w:w="3480" w:type="dxa"/>
            <w:vAlign w:val="bottom"/>
          </w:tcPr>
          <w:p>
            <w:pPr>
              <w:spacing w:after="0"/>
              <w:rPr>
                <w:sz w:val="24"/>
                <w:szCs w:val="24"/>
                <w:color w:val="auto"/>
              </w:rPr>
            </w:pPr>
          </w:p>
        </w:tc>
        <w:tc>
          <w:tcPr>
            <w:tcW w:w="3840" w:type="dxa"/>
            <w:vAlign w:val="bottom"/>
          </w:tcPr>
          <w:p>
            <w:pPr>
              <w:jc w:val="right"/>
              <w:ind w:right="1500"/>
              <w:spacing w:after="0"/>
              <w:rPr>
                <w:sz w:val="20"/>
                <w:szCs w:val="20"/>
                <w:color w:val="auto"/>
              </w:rPr>
            </w:pPr>
            <w:r>
              <w:rPr>
                <w:rFonts w:ascii="Arial" w:cs="Arial" w:eastAsia="Arial" w:hAnsi="Arial"/>
                <w:sz w:val="16"/>
                <w:szCs w:val="16"/>
                <w:color w:val="auto"/>
              </w:rPr>
              <w:t>166</w:t>
            </w:r>
          </w:p>
        </w:tc>
        <w:tc>
          <w:tcPr>
            <w:tcW w:w="3940" w:type="dxa"/>
            <w:vAlign w:val="bottom"/>
          </w:tcPr>
          <w:p>
            <w:pPr>
              <w:spacing w:after="0"/>
              <w:rPr>
                <w:sz w:val="24"/>
                <w:szCs w:val="24"/>
                <w:color w:val="auto"/>
              </w:rPr>
            </w:pPr>
          </w:p>
        </w:tc>
      </w:tr>
      <w:tr>
        <w:trPr>
          <w:trHeight w:val="99"/>
        </w:trPr>
        <w:tc>
          <w:tcPr>
            <w:tcW w:w="34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29" w:right="3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KNOW ALL BY THESE PRESENTS, that each person whose signature appears below hereby constitute and appoint Travis C. Mickle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60"/>
          </w:cols>
          <w:pgMar w:left="320" w:top="529" w:right="319" w:bottom="1440" w:gutter="0" w:footer="0" w:header="0"/>
        </w:sectPr>
      </w:pPr>
    </w:p>
    <w:p>
      <w:pPr>
        <w:spacing w:after="0" w:line="148"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27927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/s/ Travis C. Mickle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Travis C. Mickle, Ph.D.</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 LaDuane Clifton, CPA</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 Timothy J. Sangiovanni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Timothy J. Sangiovanni, CPA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Matthew R. Plooster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Matthew R. Plooster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Richard W. Pascoe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Richard W. Pascoe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Joseph B. Saluri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Joseph B. Saluri</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David S.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79273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27927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David S. Tierney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10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171"/>
        </w:trPr>
        <w:tc>
          <w:tcPr>
            <w:tcW w:w="4380" w:type="dxa"/>
            <w:vAlign w:val="bottom"/>
          </w:tcPr>
          <w:p>
            <w:pPr>
              <w:jc w:val="center"/>
              <w:spacing w:after="0" w:line="171" w:lineRule="exact"/>
              <w:rPr>
                <w:sz w:val="20"/>
                <w:szCs w:val="20"/>
                <w:color w:val="auto"/>
              </w:rPr>
            </w:pPr>
            <w:r>
              <w:rPr>
                <w:rFonts w:ascii="Arial" w:cs="Arial" w:eastAsia="Arial" w:hAnsi="Arial"/>
                <w:sz w:val="16"/>
                <w:szCs w:val="16"/>
                <w:color w:val="auto"/>
                <w:w w:val="91"/>
              </w:rPr>
              <w:t>President, Chief Executive Officer and Chairman of the Board of</w:t>
            </w: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1"/>
        </w:trPr>
        <w:tc>
          <w:tcPr>
            <w:tcW w:w="4380" w:type="dxa"/>
            <w:vAlign w:val="bottom"/>
          </w:tcPr>
          <w:p>
            <w:pPr>
              <w:jc w:val="center"/>
              <w:spacing w:after="0"/>
              <w:rPr>
                <w:sz w:val="20"/>
                <w:szCs w:val="20"/>
                <w:color w:val="auto"/>
              </w:rPr>
            </w:pPr>
            <w:r>
              <w:rPr>
                <w:rFonts w:ascii="Arial" w:cs="Arial" w:eastAsia="Arial" w:hAnsi="Arial"/>
                <w:sz w:val="16"/>
                <w:szCs w:val="16"/>
                <w:color w:val="auto"/>
                <w:w w:val="93"/>
              </w:rPr>
              <w:t>Directors</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4"/>
        </w:trPr>
        <w:tc>
          <w:tcPr>
            <w:tcW w:w="4380" w:type="dxa"/>
            <w:vAlign w:val="bottom"/>
          </w:tcPr>
          <w:p>
            <w:pPr>
              <w:jc w:val="center"/>
              <w:spacing w:after="0"/>
              <w:rPr>
                <w:sz w:val="20"/>
                <w:szCs w:val="20"/>
                <w:color w:val="auto"/>
              </w:rPr>
            </w:pPr>
            <w:r>
              <w:rPr>
                <w:rFonts w:ascii="Arial" w:cs="Arial" w:eastAsia="Arial" w:hAnsi="Arial"/>
                <w:sz w:val="16"/>
                <w:szCs w:val="16"/>
                <w:color w:val="auto"/>
                <w:w w:val="94"/>
              </w:rPr>
              <w:t>(Principal Executive Officer)</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61"/>
        </w:trPr>
        <w:tc>
          <w:tcPr>
            <w:tcW w:w="4380" w:type="dxa"/>
            <w:vAlign w:val="bottom"/>
          </w:tcPr>
          <w:p>
            <w:pPr>
              <w:jc w:val="center"/>
              <w:spacing w:after="0"/>
              <w:rPr>
                <w:sz w:val="20"/>
                <w:szCs w:val="20"/>
                <w:color w:val="auto"/>
              </w:rPr>
            </w:pPr>
            <w:r>
              <w:rPr>
                <w:rFonts w:ascii="Arial" w:cs="Arial" w:eastAsia="Arial" w:hAnsi="Arial"/>
                <w:sz w:val="16"/>
                <w:szCs w:val="16"/>
                <w:color w:val="auto"/>
                <w:w w:val="90"/>
              </w:rPr>
              <w:t>Chief Financial Officer, Secretary and Treasurer</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4"/>
        </w:trPr>
        <w:tc>
          <w:tcPr>
            <w:tcW w:w="4380" w:type="dxa"/>
            <w:vAlign w:val="bottom"/>
          </w:tcPr>
          <w:p>
            <w:pPr>
              <w:jc w:val="center"/>
              <w:spacing w:after="0"/>
              <w:rPr>
                <w:sz w:val="20"/>
                <w:szCs w:val="20"/>
                <w:color w:val="auto"/>
              </w:rPr>
            </w:pPr>
            <w:r>
              <w:rPr>
                <w:rFonts w:ascii="Arial" w:cs="Arial" w:eastAsia="Arial" w:hAnsi="Arial"/>
                <w:sz w:val="16"/>
                <w:szCs w:val="16"/>
                <w:color w:val="auto"/>
                <w:w w:val="94"/>
              </w:rPr>
              <w:t>(Principal Financial Officer)</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61"/>
        </w:trPr>
        <w:tc>
          <w:tcPr>
            <w:tcW w:w="4380" w:type="dxa"/>
            <w:vAlign w:val="bottom"/>
          </w:tcPr>
          <w:p>
            <w:pPr>
              <w:jc w:val="center"/>
              <w:spacing w:after="0"/>
              <w:rPr>
                <w:sz w:val="20"/>
                <w:szCs w:val="20"/>
                <w:color w:val="auto"/>
              </w:rPr>
            </w:pPr>
            <w:r>
              <w:rPr>
                <w:rFonts w:ascii="Arial" w:cs="Arial" w:eastAsia="Arial" w:hAnsi="Arial"/>
                <w:sz w:val="16"/>
                <w:szCs w:val="16"/>
                <w:color w:val="auto"/>
                <w:w w:val="91"/>
              </w:rPr>
              <w:t>Vice President, Corporate Controller</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4"/>
        </w:trPr>
        <w:tc>
          <w:tcPr>
            <w:tcW w:w="4380" w:type="dxa"/>
            <w:vAlign w:val="bottom"/>
          </w:tcPr>
          <w:p>
            <w:pPr>
              <w:jc w:val="center"/>
              <w:spacing w:after="0"/>
              <w:rPr>
                <w:sz w:val="20"/>
                <w:szCs w:val="20"/>
                <w:color w:val="auto"/>
              </w:rPr>
            </w:pPr>
            <w:r>
              <w:rPr>
                <w:rFonts w:ascii="Arial" w:cs="Arial" w:eastAsia="Arial" w:hAnsi="Arial"/>
                <w:sz w:val="16"/>
                <w:szCs w:val="16"/>
                <w:color w:val="auto"/>
                <w:w w:val="94"/>
              </w:rPr>
              <w:t>(Principal Accounting Officer)</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86"/>
        </w:trPr>
        <w:tc>
          <w:tcPr>
            <w:tcW w:w="43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86"/>
        </w:trPr>
        <w:tc>
          <w:tcPr>
            <w:tcW w:w="43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86"/>
        </w:trPr>
        <w:tc>
          <w:tcPr>
            <w:tcW w:w="43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86"/>
        </w:trPr>
        <w:tc>
          <w:tcPr>
            <w:tcW w:w="43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March 11, 2021</w:t>
            </w:r>
          </w:p>
        </w:tc>
      </w:tr>
      <w:tr>
        <w:trPr>
          <w:trHeight w:val="574"/>
        </w:trPr>
        <w:tc>
          <w:tcPr>
            <w:tcW w:w="4380" w:type="dxa"/>
            <w:vAlign w:val="bottom"/>
          </w:tcPr>
          <w:p>
            <w:pPr>
              <w:jc w:val="right"/>
              <w:ind w:right="308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2">
            <w:col w:w="3800" w:space="720"/>
            <w:col w:w="6740"/>
          </w:cols>
          <w:pgMar w:left="320" w:top="529" w:right="319" w:bottom="1440" w:gutter="0" w:footer="0" w:header="0"/>
          <w:type w:val="continuous"/>
        </w:sectPr>
      </w:pPr>
    </w:p>
    <w:bookmarkStart w:id="167" w:name="page168"/>
    <w:bookmarkEnd w:id="167"/>
    <w:p>
      <w:pPr>
        <w:ind w:left="9380"/>
        <w:spacing w:after="0"/>
        <w:rPr>
          <w:sz w:val="20"/>
          <w:szCs w:val="20"/>
          <w:color w:val="auto"/>
        </w:rPr>
      </w:pPr>
      <w:r>
        <w:rPr>
          <w:rFonts w:ascii="Arial" w:cs="Arial" w:eastAsia="Arial" w:hAnsi="Arial"/>
          <w:sz w:val="15"/>
          <w:szCs w:val="15"/>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704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203440" cy="470471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1118870</wp:posOffset>
            </wp:positionH>
            <wp:positionV relativeFrom="page">
              <wp:posOffset>225425</wp:posOffset>
            </wp:positionV>
            <wp:extent cx="5311775" cy="87414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5311775" cy="8741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rFonts w:ascii="Arial" w:cs="Arial" w:eastAsia="Arial" w:hAnsi="Arial"/>
          <w:sz w:val="16"/>
          <w:szCs w:val="16"/>
          <w:b w:val="1"/>
          <w:bCs w:val="1"/>
          <w:color w:val="auto"/>
        </w:rPr>
        <w:t>Exhibit 4.8</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DESCRIPTION OF THE REGISTRANT</w:t>
      </w:r>
      <w:r>
        <w:rPr>
          <w:rFonts w:ascii="Arial" w:cs="Arial" w:eastAsia="Arial" w:hAnsi="Arial"/>
          <w:sz w:val="16"/>
          <w:szCs w:val="16"/>
          <w:color w:val="auto"/>
        </w:rPr>
        <w:t>’</w:t>
      </w:r>
      <w:r>
        <w:rPr>
          <w:rFonts w:ascii="Arial" w:cs="Arial" w:eastAsia="Arial" w:hAnsi="Arial"/>
          <w:sz w:val="16"/>
          <w:szCs w:val="16"/>
          <w:b w:val="1"/>
          <w:bCs w:val="1"/>
          <w:color w:val="auto"/>
        </w:rPr>
        <w:t>S SECURITIES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REGISTERED PURSUANT TO SECTION 12 OF THE</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EXCHANGE ACT OF 1934</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KemPharm, Inc. (“we,” “our,” or “us”) has one class of securities registered under Section 12 of the Securities Exchange Act of 1934, as amended, our common stock, par value $0.0001 per share, or common stock. The following description of our capital stock is a summary and does not purport to be complete. It is qualified in its entirety by, and should be read in conjunction with, our amended and restated certificate of incorporation, amended and restated bylaws and applicable Delaware law.</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Under our amended and restated certificate of incorporation we are authorized to issue up to 250,000,000 shares of common stock and 10,000,000 shares of preferred stock, $0.0001 par value per share, of which 9,578 shares have been designated Series A preferred stock, or the Series A Preferred Stock, 1,576 shares have been designated as Series B-1 preferred stock, or the Series B-1 Preferred Stock, and 31,480 shares have been designated as Series B-2 preferred stock, or the Series B-2 Preferred Stock (and together with the Series B-1 Preferred Stock, the Series B Preferred Stock). As of March 10, 2021, we had outstanding (i) 28,376,321 shares of common stock, and (ii) no shares of Series B-2 Preferred Stock. Our board of directors may establish the rights and preferences of the undesignated preferred stock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98"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our common stock entitled to vote in any election of directors can elect all of the directors standing for election, if they should so choose.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and Preferences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02"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our common stock, and to increase or decrease the number of shares of any such series, but not below the number of shares of such series then outstanding. Our board of directors, without stockholder approval, can issue preferred stock with voting, conversion or other rights that could adversely affect the voting power and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and may adversely affect the voting power of holders of our common stock and reduce the likelihood that our common stockholders will receive dividend payments and payments upon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0" w:name="page171"/>
    <w:bookmarkEnd w:id="170"/>
    <w:p>
      <w:pPr>
        <w:jc w:val="both"/>
        <w:ind w:right="20"/>
        <w:spacing w:after="0" w:line="275" w:lineRule="auto"/>
        <w:rPr>
          <w:sz w:val="20"/>
          <w:szCs w:val="20"/>
          <w:color w:val="auto"/>
        </w:rPr>
      </w:pPr>
      <w:r>
        <w:rPr>
          <w:rFonts w:ascii="Arial" w:cs="Arial" w:eastAsia="Arial" w:hAnsi="Arial"/>
          <w:sz w:val="16"/>
          <w:szCs w:val="16"/>
          <w:color w:val="auto"/>
        </w:rPr>
        <w:t>Our board of directors will fix the designations, voting powers, preferences and rights, as well as the qualifications, limitations or restrictions, of the preferred stock of each series that we offer in the certificate of designation relating to that series.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Delaware General Corporation Law, the law governing corporations in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March 10, 2021, we have designated an aggregate of 42,634 shares of preferred stock, of which 9,578 are designated Series A Preferred Stock, 1,576 are designated Series B-1 Preferred Stock and 31,480 are designated Series B-2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Amended and Restated Series B-2 Certificate of Designation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January 11, 2021, we filed an Amended and Restated Series B-2 Certificate of Designation with the Secretary of State of the State Delaware, setting forth the preferences, rights and limitations of the Series B-2 Preferred Stock. As of March 10, 2021, we had designated 31,480 shares of preferred stock as Series B-2 Preferred Stock, of which no shares were outstanding.</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share of Series B-2 Preferred Stock has an aggregate stated value of $1,000 and is convertible into shares of our common stock at a per share price equal to $6.4999 (subject to adjustment to reflect stock splits and similar events).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Series B-2 Preferred Stock are convertible at any time on or after the PDUFA Date (as defined in the Amended and Restated Series B-2 Certificate of Designation) at the option of the holders thereof; provided that the holders thereof will be prohibited from converting shares of Series B-2 Preferred Stock into shares our common stock if, as a result of such conversion, such holders (together with certain affiliates and “group” members of such holders) would beneficially own more than 4.985% of the total number of shares of our common stock then issued and outstanding. The Series B-2 Preferred Stock are not be redeemable. In the event of our liquidation, dissolution or winding up or our change in control, the holders of Series B-2 Preferred Stock will receive, prior to any distribution or payment on our common stock, an amount equal to the greater of (i) $1,000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event, in each case, plus any declared but unpaid dividends thereon. With respect to rights upon liquidation, the Series B-2 Preferred Stock rank senior to our common stock, on parity with any Parity Securities (as defined in the Amended and Restated Series B-2 Certificate of Designation) and junior to any Senior Securities (as defined in the Amended and Restated Series B-2 Certificate of Designation) and existing and future indebtedness. Except as otherwise required by law (or with respect to approval of certain actions involving our organizational documents that adversely affect the holders of Series B-2 Preferred Stock and other specified matters regarding the rights, preferences and privileges of the Series B-2 Preferred Stock), the Series B-2 Preferred Stock do not have voting rights. The Series B-2 Preferred Stock are not be subject to any price-based anti-dilution protections and do not provide for any accruing dividends, but do provide that holders of Series B-2 Preferred Stock will participate in any dividends on our common stock on an as-converted basis (without giving effect to the limitation on conversion described above). The Amended and Restated Series B-2 Certificate of Designation also provides for partial liquidated damages in the event that we fail to timely convert shares of Series B-2 Preferred Stock into common stock in accordance with the Amended and Restated Series B-2 Certificate of Designation.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Warrants</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As of March 10, 2021, we had outstanding warrants to purchase up to 9,645,193 shares of our common stock at a weighted average exercise price of $7.142 per share and which expire between October 24, 2023 and January 26, 2026. The warrants include a net exercise provision and contain provisions for the adjustment of the exercise price and the number of shares issuable upon the exercise of each warrant in the event of certain stock dividends, stock splits, reorganizations, reclassifications and consolidations. We have also granted registration rights to Deerfield Private Design Fund III, L.P., or Deerfield, as more fully described below under “—Registration Rights.”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June 2014, in connection with our entering into a facility agreement, we issued to Deerfield a warrant, or the Deerfield Warrant, to purchase 14,423,076 shares of Series D redeemable convertible preferred stock at an exercise price of $0.78 per share, which is exercisable until June 2, 2024. Upon completion of our initial public offering, the Deerfield Warrant automatically converted into a warrant to purchase 120,192 shares of our common stock at an exercise price of $93.60 per share. According to the terms of the Deerfield Warrant, in no event may Deerfield exercise this warrant if such exercise would result in Deerfield beneficially owning more than 4.985% of the then issued and outstanding shares of our common stock. This exercise limitation may not be waived and any purported exercise that is inconsistent with this exercise limitation is null and void. This exercise limitation will not apply to any exercise made immediately prior to a change of control transaction. If Deerfield is only able to exercise the Deerfield Warrant for a limited number of shares due to this exercise limitation, the Deerfield Warrant could subsequently become exercisable to purchase the remainder of the shares as a result of a variety of events. This could occur, for example, if we issue more shares or Deerfield sells some of its existing shares. The Deerfield Warrant includes a net exercise provision and contains provisions for the adjustment of the exercise price and the number of shares issuable upon the exercise of the warrant in the event of certain stock dividends, stock splits, recapitalizations, reclassifications and consolidations. Under the Deerfield Warrant, Deerfield also has the right to demand upon the occurrence of specified events, including a merger, asset sale or other change of control transaction, that we redeem the Deerfield Warrant for a cash amount equal to the Black-Scholes value of the portion of the Deerfield Warrant to be redeemed. If Deerfield chooses not to redeem the Deerfield Warrant upon the occurrence of such an event, we may not enter into any such transaction unless our successor entity assumes in writing all our obligations under both the Deerfield Warrant and the Deerfield facility and provides Deerfield with certain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71" w:name="page172"/>
    <w:bookmarkEnd w:id="171"/>
    <w:p>
      <w:pPr>
        <w:jc w:val="both"/>
        <w:spacing w:after="0" w:line="293" w:lineRule="auto"/>
        <w:rPr>
          <w:sz w:val="20"/>
          <w:szCs w:val="20"/>
          <w:color w:val="auto"/>
        </w:rPr>
      </w:pPr>
      <w:r>
        <w:rPr>
          <w:rFonts w:ascii="Arial" w:cs="Arial" w:eastAsia="Arial" w:hAnsi="Arial"/>
          <w:sz w:val="14"/>
          <w:szCs w:val="14"/>
          <w:color w:val="auto"/>
        </w:rPr>
        <w:t>The Deerfield Warrant includes certain exercise price protection provisions pursuant to which the exercise price of the Deerfield Warrant will be adjusted downward on a broad-based weighted average basis if we issue or sell any shares of common stock, convertible securities, warrants or options, at a sale or exercise price per share less than the greater of the Deerfield Warrant’s exercise price or the closing sale price of our common stock on our principal market or exchange on the last trading date immediately prior to such issuance or, in the case of a firm commitment underwritten offering, on the date of execution of the underwriting agreement between us and the underwriters for such offering. The sale price for purposes of this adjustment is measured after giving effect to any underwriting discounts and commissions. This exercise price adjustment does not apply to certain specified sales and in any offering deemed by the Securities and Exchange Commission, or the SEC, to constitute an “at the market offering” as defined in Rule 415 of the Securities Act of 1933, or the Securities Act, of our common stock, the exercise price of the Deerfield Warrant will be adjusted downward pursuant to this anti-dilution adjustment only if such sales are made at a price less than $93.60 per share. On January 26, 2021, we entered into a Warrant Inducement transaction which triggered these exercise price protection provision and the exercise price of the Deerfield Warrant was reduced from $93.60 per share to $46.25 per share.</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January 2021, and in February 2021 in accordance with the underwriter's partial exercise of their over-allotment option, we issued the Underwritten Warrants and additional substantially similar warrants to purchase shares of our common stock pursuant to an underwriting agreement and the December 2020 Exchange Agreement (as defined below), or, collectively with the Underwritten Warrants and the Warrants, the January 2021 Warrants.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January 2021 Warrants are exercisable, at the option of each holder, in whole or in part, by delivering to us a duly executed exercise notice accompanied by payment in full for the number of shares of our common stock purchased upon such exercise (except in the case of a cashless exercise). A holder (together with its affiliates) may not exercise any portion of a January 2021 Warrant to the extent that the holder would own more than 4.99% of our outstanding common stock immediately after exercise, except that upon at least 61 days’ prior notice from the holder of a January 2021 Warrant issued under the underwriting agreement, the holder may increase the amount of beneficial ownership of outstanding stock after exercising the holder’s January 2021 Warrant up to 9.99% of the number of shares of our common stock outstanding immediately after giving effect to the exercise, as such percentage ownership is determined in accordance with the terms of the January 2021 Warrant and Delaware law. Purchasers of January 2021 Warrants under the underwriting agreement may have also elected prior to the issuance of the January 2021 Warrants to have the initial exercise limitation set at 9.99% of our outstanding common stock.</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at the time a holder exercises its January 2021 Warrants, a registration statement registering the issuance of the shares of common stock underlying such January 2021 Warrant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January 2021 Warrants.</w:t>
      </w:r>
    </w:p>
    <w:p>
      <w:pPr>
        <w:spacing w:after="0" w:line="16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In the event of a fundamental transaction, as described in the January 2021 Warrants and generally including any reorganization, recapitalization or reclassification of our common stock, the sale, transfer or other disposition of all or substantially all of our properties or assets, a consolidation or merger of us with or into another person, the acquisition of more than 50% of our outstanding common stock, or any person or group becoming the beneficial owner of 50% of the voting power represented by our outstanding common stock, the holders of the January 2021 Warrants will be entitled to receive upon exercise of the January 2021 Warrants the kind and amount of securities, cash or other property that the holders would have received had they exercised the January 2021 Warrants immediately prior to such fundamental transaction. In addition, in the event of a fundamental transaction which is approved by our board of directors, the holders of the January 2021 Warrants have the right to that we or a successor entity to redeem the January 2021 Warrants for cash in the amount of the Black Scholes value of the unexercised portion of the January 2021 Warrants on the date of the consummation of the fundamental transaction. In the event of a fundamental transaction which is not approved by our board of directors, the holders of the January 2021 Warrants have the right to require that we or a successor entity to redeem the January 2021 Warrants in the amount of the Black Scholes value of the unexercised portion of the January 2021 Warrants on the date of the consummation of the fundamental transaction payable in the form of consideration paid to the holders of our common stock in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b w:val="1"/>
          <w:bCs w:val="1"/>
          <w:color w:val="auto"/>
        </w:rPr>
        <w:t>Registration Rights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Rights Agreement</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We and the holders of shares of our common stock issued upon the conversion or reclassification of our redeemable convertible preferred stock have entered into an investors’ rights agreement. The registration rights provisions of this agreement expired as to all holders of our capital stock, other than Deerfield, on the second anniversary of our initial public offering. The registration rights provisions of our investors’ rights agreement currently provide Deerfield with the registration rights described in more detail below.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198"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Deerfield has the right to demand that we file a Form S-1 registration statement, as long as the anticipated aggregate offering price, net of underwriting discounts and commissions, would exceed $15.0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reasonably possible.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Deerfield will be entitled to include its shares of our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Registration on Form S-3</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Deerfield is entitled, upon its written request, to have such shares registered by us on a Form S-3 registration statement at our expense, subject to other specified conditions and limitations.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will pay all expenses relating to any demand, piggyback or Form S-3 registration, other than underwriting discounts and commissions, subject to specified conditions and limitations.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Registration Rights</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registration rights granted under the investors’ rights agreement terminated as to all the holders of our capital stock, other than Deerfield, on the two-year anniversary of our initial public offering. These registration rights will terminate as to Deerfield upon the earliest to occur of (i) written consent of Deerfield, (ii) such time that the Deerfield Warrant has been exercised in full and Rule 144 or another similar exemption under the Securities Act is available for the sale of all shares of our capital stock held by Deerfield without limitation during a three-month period without registration or (iii) six-months following the expiration of the Deerfield Warrant.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203 of the Delaware General Corporation Law</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52" w:lineRule="exact"/>
        <w:rPr>
          <w:sz w:val="20"/>
          <w:szCs w:val="20"/>
          <w:color w:val="auto"/>
        </w:rPr>
      </w:pPr>
    </w:p>
    <w:p>
      <w:pPr>
        <w:ind w:left="440" w:right="20" w:hanging="217"/>
        <w:spacing w:after="0" w:line="275"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before such date, the board of directors of the corporation approved either the business combination or the transaction that resulted in the stockholder becoming an interested stockholder;</w:t>
      </w:r>
    </w:p>
    <w:p>
      <w:pPr>
        <w:spacing w:after="0" w:line="151" w:lineRule="exact"/>
        <w:rPr>
          <w:rFonts w:ascii="Arial" w:cs="Arial" w:eastAsia="Arial" w:hAnsi="Arial"/>
          <w:sz w:val="16"/>
          <w:szCs w:val="16"/>
          <w:color w:val="auto"/>
        </w:rPr>
      </w:pPr>
    </w:p>
    <w:p>
      <w:pPr>
        <w:jc w:val="both"/>
        <w:ind w:left="440" w:right="20" w:hanging="217"/>
        <w:spacing w:after="0" w:line="280"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1" w:lineRule="exact"/>
        <w:rPr>
          <w:rFonts w:ascii="Arial" w:cs="Arial" w:eastAsia="Arial" w:hAnsi="Arial"/>
          <w:sz w:val="15"/>
          <w:szCs w:val="15"/>
          <w:color w:val="auto"/>
        </w:rPr>
      </w:pPr>
    </w:p>
    <w:p>
      <w:pPr>
        <w:ind w:left="440" w:right="20" w:hanging="217"/>
        <w:spacing w:after="0" w:line="309"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In general, Section 203 defines a “business combination” to include the following:</w:t>
      </w:r>
    </w:p>
    <w:p>
      <w:pPr>
        <w:spacing w:after="0" w:line="198" w:lineRule="exact"/>
        <w:rPr>
          <w:sz w:val="20"/>
          <w:szCs w:val="20"/>
          <w:color w:val="auto"/>
        </w:rPr>
      </w:pPr>
    </w:p>
    <w:p>
      <w:pPr>
        <w:ind w:left="440" w:hanging="217"/>
        <w:spacing w:after="0"/>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merger or consolidation involving the corporation and the interested stockholder;</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198" w:lineRule="exact"/>
        <w:rPr>
          <w:rFonts w:ascii="Arial" w:cs="Arial" w:eastAsia="Arial" w:hAnsi="Arial"/>
          <w:sz w:val="16"/>
          <w:szCs w:val="16"/>
          <w:color w:val="auto"/>
        </w:rPr>
      </w:pPr>
    </w:p>
    <w:p>
      <w:pPr>
        <w:ind w:left="440" w:hanging="217"/>
        <w:spacing w:after="0"/>
        <w:tabs>
          <w:tab w:leader="none" w:pos="4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subject to certain exceptions, any transaction that results in the issuance or transfer by the corporation of any stock of the corporation to the interested stockholder;</w:t>
      </w:r>
    </w:p>
    <w:p>
      <w:pPr>
        <w:spacing w:after="0" w:line="209" w:lineRule="exact"/>
        <w:rPr>
          <w:rFonts w:ascii="Arial" w:cs="Arial" w:eastAsia="Arial" w:hAnsi="Arial"/>
          <w:sz w:val="15"/>
          <w:szCs w:val="15"/>
          <w:color w:val="auto"/>
        </w:rPr>
      </w:pPr>
    </w:p>
    <w:p>
      <w:pPr>
        <w:ind w:left="440" w:hanging="217"/>
        <w:spacing w:after="0" w:line="275"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transaction involving the corporation that has the effect of increasing the proportionate share of the stock or any class or series of the corporation beneficially owned by the interested stockholder; or</w:t>
      </w:r>
    </w:p>
    <w:p>
      <w:pPr>
        <w:spacing w:after="0" w:line="151" w:lineRule="exact"/>
        <w:rPr>
          <w:rFonts w:ascii="Arial" w:cs="Arial" w:eastAsia="Arial" w:hAnsi="Arial"/>
          <w:sz w:val="16"/>
          <w:szCs w:val="16"/>
          <w:color w:val="auto"/>
        </w:rPr>
      </w:pPr>
    </w:p>
    <w:p>
      <w:pPr>
        <w:ind w:left="440" w:hanging="217"/>
        <w:spacing w:after="0"/>
        <w:tabs>
          <w:tab w:leader="none" w:pos="4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receipt by the interested stockholder of the benefit of any loans, advances, guarantees, pledges or other financial benefits by or through the corporation.</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Certificate of Incorporation and Bylaws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our common stock outstanding will be able to elect all of our directors.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6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5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b w:val="1"/>
          <w:bCs w:val="1"/>
          <w:color w:val="auto"/>
        </w:rPr>
        <w:t>Choice of Forum</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Our amended and restated bylaws provide that (1)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current or former director, officer or other employee of us, to us or our stockholders; (C) any action or proceeding asserting a claim against us any current or former director, officer or other employee of us, arising out of or pursuant to any provision of the Delaware General Corporation Law, or the DGCL, our amended and restated certificate of incorporation or our amended and restated bylaws (as each may be amended from time to time); (D) any action or proceeding to interpret, apply, enforce or determine the validity of our amended and restated certificate of incorporation or our amended and restated bylaws (including any right, obligation, or remedy thereunder); (E) any action or proceeding as to which the DGCL confers jurisdiction to the Court of Chancery of the State of Delaware; and (F) any action or proceeding asserting a claim against us or any director, officer or other employee of us, governed by the internal affairs doctrine, in all cases to the fullest extent permitted by law and subject to the court’s having personal jurisdiction over the indispensable parties named as defendants, provided that this provision shall not apply to suits brought to enforce a duty or liability created by the Securities Act or the Exchange Act or any other claim for which the federal courts have exclusive jurisdiction; (2)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(3) any person or entity holding, owning or otherwise acquiring any interest in any of our securities shall be deemed to have notice of and consented to the provisions of our amended and restated bylaws.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Computershare Trust Company, N.A. The transfer agent’s address is 144 Fernwood Avenue, Edison, NJ 08837.</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on the Nasdaq Capital Market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“KMPH.”</w:t>
      </w:r>
    </w:p>
    <w:p>
      <w:pPr>
        <w:sectPr>
          <w:pgSz w:w="11900" w:h="16838" w:orient="portrait"/>
          <w:cols w:equalWidth="0" w:num="1">
            <w:col w:w="11260"/>
          </w:cols>
          <w:pgMar w:left="320" w:top="529"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b w:val="1"/>
          <w:bCs w:val="1"/>
          <w:color w:val="auto"/>
        </w:rPr>
        <w:t>Exhibit 10.8</w:t>
      </w:r>
    </w:p>
    <w:p>
      <w:pPr>
        <w:spacing w:after="0" w:line="198"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KemPharm, Inc.</w:t>
      </w:r>
    </w:p>
    <w:p>
      <w:pPr>
        <w:spacing w:after="0" w:line="24"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Sixth Amended and Restated</w:t>
      </w:r>
    </w:p>
    <w:p>
      <w:pPr>
        <w:spacing w:after="0" w:line="7"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Non-Employee Director</w:t>
      </w:r>
    </w:p>
    <w:p>
      <w:pPr>
        <w:spacing w:after="0" w:line="7"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Compensation Policy</w:t>
      </w:r>
    </w:p>
    <w:p>
      <w:pPr>
        <w:spacing w:after="0" w:line="186" w:lineRule="exact"/>
        <w:rPr>
          <w:sz w:val="20"/>
          <w:szCs w:val="20"/>
          <w:color w:val="auto"/>
        </w:rPr>
      </w:pPr>
    </w:p>
    <w:p>
      <w:pPr>
        <w:ind w:left="864"/>
        <w:spacing w:after="0"/>
        <w:rPr>
          <w:sz w:val="20"/>
          <w:szCs w:val="20"/>
          <w:color w:val="auto"/>
        </w:rPr>
      </w:pPr>
      <w:r>
        <w:rPr>
          <w:rFonts w:ascii="Arial" w:cs="Arial" w:eastAsia="Arial" w:hAnsi="Arial"/>
          <w:sz w:val="14"/>
          <w:szCs w:val="14"/>
          <w:color w:val="auto"/>
        </w:rPr>
        <w:t>Each member of the board of director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of KemPharm,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who is not also an employee of the Company or any subsidiary of the</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shall be entitled to the following compensation for service on the Board and its committees: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Cash Compensation</w:t>
      </w:r>
    </w:p>
    <w:p>
      <w:pPr>
        <w:spacing w:after="0" w:line="198" w:lineRule="exact"/>
        <w:rPr>
          <w:sz w:val="20"/>
          <w:szCs w:val="20"/>
          <w:color w:val="auto"/>
        </w:rPr>
      </w:pPr>
    </w:p>
    <w:p>
      <w:pPr>
        <w:jc w:val="both"/>
        <w:ind w:left="4" w:right="20" w:firstLine="860"/>
        <w:spacing w:after="0" w:line="262" w:lineRule="auto"/>
        <w:rPr>
          <w:sz w:val="20"/>
          <w:szCs w:val="20"/>
          <w:color w:val="auto"/>
        </w:rPr>
      </w:pPr>
      <w:r>
        <w:rPr>
          <w:rFonts w:ascii="Arial" w:cs="Arial" w:eastAsia="Arial" w:hAnsi="Arial"/>
          <w:sz w:val="16"/>
          <w:szCs w:val="16"/>
          <w:color w:val="auto"/>
        </w:rPr>
        <w:t xml:space="preserve">Cash compensation shall be paid in the following annual amounts. Payments shall be made in quarterly installments in arrears on the last day of each calendar quarter in which service occurred, and shall be </w:t>
      </w:r>
      <w:r>
        <w:rPr>
          <w:rFonts w:ascii="Arial" w:cs="Arial" w:eastAsia="Arial" w:hAnsi="Arial"/>
          <w:sz w:val="16"/>
          <w:szCs w:val="16"/>
          <w:i w:val="1"/>
          <w:iCs w:val="1"/>
          <w:color w:val="auto"/>
        </w:rPr>
        <w:t>prorated</w:t>
      </w:r>
      <w:r>
        <w:rPr>
          <w:rFonts w:ascii="Arial" w:cs="Arial" w:eastAsia="Arial" w:hAnsi="Arial"/>
          <w:sz w:val="16"/>
          <w:szCs w:val="16"/>
          <w:color w:val="auto"/>
        </w:rPr>
        <w:t xml:space="preserve"> as appropriated for a director who does not serve for the full quarter. For the avoidance of doubt, the cash compensation set forth below shall apply for the entire quarter in which this policy is adopted by the Board.</w:t>
      </w:r>
    </w:p>
    <w:p>
      <w:pPr>
        <w:spacing w:after="0" w:line="162" w:lineRule="exact"/>
        <w:rPr>
          <w:sz w:val="20"/>
          <w:szCs w:val="20"/>
          <w:color w:val="auto"/>
        </w:rPr>
      </w:pPr>
    </w:p>
    <w:p>
      <w:pPr>
        <w:ind w:left="224" w:hanging="224"/>
        <w:spacing w:after="0"/>
        <w:tabs>
          <w:tab w:leader="none" w:pos="224"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non-employee directors: $35,000</w:t>
      </w:r>
    </w:p>
    <w:p>
      <w:pPr>
        <w:spacing w:after="0" w:line="19"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Chairman of the Board, if not an employee, or lead independent director, if any (in addition to the retainer for all non-employee directors): $15,000</w:t>
      </w:r>
    </w:p>
    <w:p>
      <w:pPr>
        <w:spacing w:after="0" w:line="185" w:lineRule="exact"/>
        <w:rPr>
          <w:rFonts w:ascii="Arial" w:cs="Arial" w:eastAsia="Arial" w:hAnsi="Arial"/>
          <w:sz w:val="16"/>
          <w:szCs w:val="16"/>
          <w:color w:val="auto"/>
        </w:rPr>
      </w:pPr>
    </w:p>
    <w:p>
      <w:pPr>
        <w:ind w:left="224" w:hanging="224"/>
        <w:spacing w:after="0"/>
        <w:tabs>
          <w:tab w:leader="none" w:pos="224"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Annual Committee Member Service Retainer</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Member of the Audit Committee: $7,500</w:t>
      </w:r>
    </w:p>
    <w:p>
      <w:pPr>
        <w:spacing w:after="0" w:line="19"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Member of the Compensation Committee: $5,000</w:t>
      </w:r>
    </w:p>
    <w:p>
      <w:pPr>
        <w:spacing w:after="0" w:line="7"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 $5,000</w:t>
      </w:r>
    </w:p>
    <w:p>
      <w:pPr>
        <w:spacing w:after="0" w:line="185" w:lineRule="exact"/>
        <w:rPr>
          <w:rFonts w:ascii="Arial" w:cs="Arial" w:eastAsia="Arial" w:hAnsi="Arial"/>
          <w:sz w:val="16"/>
          <w:szCs w:val="16"/>
          <w:color w:val="auto"/>
        </w:rPr>
      </w:pPr>
    </w:p>
    <w:p>
      <w:pPr>
        <w:ind w:left="224" w:hanging="224"/>
        <w:spacing w:after="0"/>
        <w:tabs>
          <w:tab w:leader="none" w:pos="224"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Annual Committee Chair Service Retainer (in addition to Committee Member Service Retainer)</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Chairman of the Audit Committee: $15,000</w:t>
      </w:r>
    </w:p>
    <w:p>
      <w:pPr>
        <w:spacing w:after="0" w:line="19"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Chairman of the Compensation Committee: $10,000</w:t>
      </w:r>
    </w:p>
    <w:p>
      <w:pPr>
        <w:spacing w:after="0" w:line="7" w:lineRule="exact"/>
        <w:rPr>
          <w:rFonts w:ascii="Arial" w:cs="Arial" w:eastAsia="Arial" w:hAnsi="Arial"/>
          <w:sz w:val="16"/>
          <w:szCs w:val="16"/>
          <w:color w:val="auto"/>
        </w:rPr>
      </w:pPr>
    </w:p>
    <w:p>
      <w:pPr>
        <w:ind w:left="444" w:hanging="217"/>
        <w:spacing w:after="0"/>
        <w:tabs>
          <w:tab w:leader="none" w:pos="4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Chairman of the Nominating and Corporate Governance Committee: $7,500</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Equity Compensation</w:t>
      </w:r>
    </w:p>
    <w:p>
      <w:pPr>
        <w:spacing w:after="0" w:line="198" w:lineRule="exact"/>
        <w:rPr>
          <w:sz w:val="20"/>
          <w:szCs w:val="20"/>
          <w:color w:val="auto"/>
        </w:rPr>
      </w:pPr>
    </w:p>
    <w:p>
      <w:pPr>
        <w:jc w:val="both"/>
        <w:ind w:left="4" w:firstLine="860"/>
        <w:spacing w:after="0" w:line="276" w:lineRule="auto"/>
        <w:rPr>
          <w:sz w:val="20"/>
          <w:szCs w:val="20"/>
          <w:color w:val="auto"/>
        </w:rPr>
      </w:pPr>
      <w:r>
        <w:rPr>
          <w:rFonts w:ascii="Arial" w:cs="Arial" w:eastAsia="Arial" w:hAnsi="Arial"/>
          <w:sz w:val="15"/>
          <w:szCs w:val="15"/>
          <w:color w:val="auto"/>
        </w:rPr>
        <w:t>The equity compensation set forth below will be granted under the Company’s 2014 Equity Incentive Plan, or, as the case may be, any successor equity incentive plan approved by the stockholders of the Company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Capital Market on the date of grant or, if such grant date is not a trading date, on the last trading date prior to the grant date, and with a term of ten years from the date of grant (subject to earlier termination in connection with a termination of service as provided in the Plan).</w:t>
      </w:r>
    </w:p>
    <w:p>
      <w:pPr>
        <w:spacing w:after="0" w:line="155" w:lineRule="exact"/>
        <w:rPr>
          <w:sz w:val="20"/>
          <w:szCs w:val="20"/>
          <w:color w:val="auto"/>
        </w:rPr>
      </w:pPr>
    </w:p>
    <w:p>
      <w:pPr>
        <w:jc w:val="both"/>
        <w:ind w:left="4" w:firstLine="860"/>
        <w:spacing w:after="0" w:line="254" w:lineRule="auto"/>
        <w:rPr>
          <w:sz w:val="20"/>
          <w:szCs w:val="20"/>
          <w:color w:val="auto"/>
        </w:rPr>
      </w:pPr>
      <w:r>
        <w:rPr>
          <w:rFonts w:ascii="Arial" w:cs="Arial" w:eastAsia="Arial" w:hAnsi="Arial"/>
          <w:sz w:val="16"/>
          <w:szCs w:val="16"/>
          <w:u w:val="single" w:color="auto"/>
          <w:color w:val="auto"/>
        </w:rPr>
        <w:t>Annual Grant</w:t>
      </w:r>
      <w:r>
        <w:rPr>
          <w:rFonts w:ascii="Arial" w:cs="Arial" w:eastAsia="Arial" w:hAnsi="Arial"/>
          <w:sz w:val="16"/>
          <w:szCs w:val="16"/>
          <w:color w:val="auto"/>
        </w:rPr>
        <w:t>: On the date of each annual stockholders meeting of the Company, each director who continues to serve as a non-employee member of the Board following such stockholders meeting will be automatically, and without further action by the Board or the Compensation Committee of the Board, be granted a stock option for 15,000 shares of common stock. The stock options will vest and become exercisable in full on the earlier of (1) the first anniversary of the grant date, (2) the day before the first annual stockholders meeting occurring after the grant date or (3) immediately prior to a “Change in Control” as defined in the Plan, subject in each case to the director’s continued service on such vesting date. For the avoidance of doubt, the common stock share number set forth above shall be on a post-reverse stock split basis (giving effect to the reverse stock split adopted by the Company in December 2020).</w:t>
      </w:r>
    </w:p>
    <w:p>
      <w:pPr>
        <w:sectPr>
          <w:pgSz w:w="11900" w:h="16838" w:orient="portrait"/>
          <w:cols w:equalWidth="0" w:num="1">
            <w:col w:w="11264"/>
          </w:cols>
          <w:pgMar w:left="316" w:top="123"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9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consent to the incorporation by reference in the Registration Statements (No. 333-234235, No. 333-252078 and No. 333-252903) on Form S-3 and Registration Statements (No. 333-203703, No. 333-210369, No. 333-216858, No. 333-224062, No. 333-230041, No. 333-236794 and No. 333-252743) on Form S-8 of KemPharm, Inc. of our report dated March 11, 2021 relating to the financial statements of KemPharm, Inc., appearing in this Annual Report on Form 10-K of KemPharm, Inc. for the year ended December 31,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Orlando, Florida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March 11, 2021</w:t>
      </w:r>
    </w:p>
    <w:p>
      <w:pPr>
        <w:sectPr>
          <w:pgSz w:w="11900" w:h="16838" w:orient="portrait"/>
          <w:cols w:equalWidth="0" w:num="1">
            <w:col w:w="11260"/>
          </w:cols>
          <w:pgMar w:left="320" w:top="123"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Travis C. Mickle, certify that:</w:t>
      </w:r>
    </w:p>
    <w:p>
      <w:pPr>
        <w:spacing w:after="0" w:line="198" w:lineRule="exact"/>
        <w:rPr>
          <w:sz w:val="20"/>
          <w:szCs w:val="20"/>
          <w:color w:val="auto"/>
        </w:rPr>
      </w:pPr>
    </w:p>
    <w:p>
      <w:pPr>
        <w:ind w:left="900" w:hanging="450"/>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KemPharm, Inc.;</w:t>
      </w:r>
    </w:p>
    <w:p>
      <w:pPr>
        <w:spacing w:after="0" w:line="19" w:lineRule="exact"/>
        <w:rPr>
          <w:rFonts w:ascii="Arial" w:cs="Arial" w:eastAsia="Arial" w:hAnsi="Arial"/>
          <w:sz w:val="16"/>
          <w:szCs w:val="16"/>
          <w:color w:val="auto"/>
        </w:rPr>
      </w:pPr>
    </w:p>
    <w:p>
      <w:pPr>
        <w:ind w:left="900" w:hanging="450"/>
        <w:spacing w:after="0" w:line="266"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hanging="450"/>
        <w:spacing w:after="0" w:line="249"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00" w:right="20" w:hanging="450"/>
        <w:spacing w:after="0" w:line="249"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460" w:right="20" w:hanging="449"/>
        <w:spacing w:after="0" w:line="249" w:lineRule="auto"/>
        <w:tabs>
          <w:tab w:leader="none" w:pos="14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460" w:right="20" w:hanging="449"/>
        <w:spacing w:after="0" w:line="249" w:lineRule="auto"/>
        <w:tabs>
          <w:tab w:leader="none" w:pos="14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460" w:right="20" w:hanging="449"/>
        <w:spacing w:after="0" w:line="249" w:lineRule="auto"/>
        <w:tabs>
          <w:tab w:leader="none" w:pos="14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49"/>
        <w:spacing w:after="0" w:line="249" w:lineRule="auto"/>
        <w:tabs>
          <w:tab w:leader="none" w:pos="14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00" w:right="20" w:hanging="450"/>
        <w:spacing w:after="0" w:line="249"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hanging="449"/>
        <w:spacing w:after="0" w:line="249" w:lineRule="auto"/>
        <w:tabs>
          <w:tab w:leader="none" w:pos="14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right="20" w:hanging="449"/>
        <w:spacing w:after="0" w:line="258" w:lineRule="auto"/>
        <w:tabs>
          <w:tab w:leader="none" w:pos="14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00" w:type="dxa"/>
            <w:vAlign w:val="bottom"/>
          </w:tcPr>
          <w:p>
            <w:pPr>
              <w:spacing w:after="0"/>
              <w:rPr>
                <w:sz w:val="20"/>
                <w:szCs w:val="20"/>
                <w:color w:val="auto"/>
              </w:rPr>
            </w:pPr>
            <w:r>
              <w:rPr>
                <w:rFonts w:ascii="Arial" w:cs="Arial" w:eastAsia="Arial" w:hAnsi="Arial"/>
                <w:sz w:val="16"/>
                <w:szCs w:val="16"/>
                <w:color w:val="auto"/>
              </w:rPr>
              <w:t>March 11, 2021</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Travis C. Mickle</w:t>
            </w:r>
          </w:p>
        </w:tc>
      </w:tr>
      <w:tr>
        <w:trPr>
          <w:trHeight w:val="171"/>
        </w:trPr>
        <w:tc>
          <w:tcPr>
            <w:tcW w:w="6100" w:type="dxa"/>
            <w:vAlign w:val="bottom"/>
          </w:tcPr>
          <w:p>
            <w:pPr>
              <w:spacing w:after="0"/>
              <w:rPr>
                <w:sz w:val="14"/>
                <w:szCs w:val="14"/>
                <w:color w:val="auto"/>
              </w:rPr>
            </w:pPr>
          </w:p>
        </w:tc>
        <w:tc>
          <w:tcPr>
            <w:tcW w:w="5160" w:type="dxa"/>
            <w:vAlign w:val="bottom"/>
          </w:tcPr>
          <w:p>
            <w:pPr>
              <w:spacing w:after="0" w:line="171" w:lineRule="exact"/>
              <w:rPr>
                <w:sz w:val="20"/>
                <w:szCs w:val="20"/>
                <w:color w:val="auto"/>
              </w:rPr>
            </w:pPr>
            <w:r>
              <w:rPr>
                <w:rFonts w:ascii="Arial" w:cs="Arial" w:eastAsia="Arial" w:hAnsi="Arial"/>
                <w:sz w:val="16"/>
                <w:szCs w:val="16"/>
                <w:color w:val="auto"/>
              </w:rPr>
              <w:t>Name:Travis C. Mickle, Ph.D.</w:t>
            </w:r>
          </w:p>
        </w:tc>
      </w:tr>
      <w:tr>
        <w:trPr>
          <w:trHeight w:val="191"/>
        </w:trPr>
        <w:tc>
          <w:tcPr>
            <w:tcW w:w="61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Title: President and Chief Executive Officer</w:t>
            </w:r>
          </w:p>
        </w:tc>
      </w:tr>
      <w:tr>
        <w:trPr>
          <w:trHeight w:val="204"/>
        </w:trPr>
        <w:tc>
          <w:tcPr>
            <w:tcW w:w="6100" w:type="dxa"/>
            <w:vAlign w:val="bottom"/>
          </w:tcPr>
          <w:p>
            <w:pPr>
              <w:spacing w:after="0"/>
              <w:rPr>
                <w:sz w:val="17"/>
                <w:szCs w:val="17"/>
                <w:color w:val="auto"/>
              </w:rPr>
            </w:pPr>
          </w:p>
        </w:tc>
        <w:tc>
          <w:tcPr>
            <w:tcW w:w="5160" w:type="dxa"/>
            <w:vAlign w:val="bottom"/>
          </w:tcPr>
          <w:p>
            <w:pPr>
              <w:ind w:left="44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60"/>
          </w:cols>
          <w:pgMar w:left="320" w:top="123"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R. LaDuane Clifton, certify that:</w:t>
      </w:r>
    </w:p>
    <w:p>
      <w:pPr>
        <w:spacing w:after="0" w:line="198" w:lineRule="exact"/>
        <w:rPr>
          <w:sz w:val="20"/>
          <w:szCs w:val="20"/>
          <w:color w:val="auto"/>
        </w:rPr>
      </w:pPr>
    </w:p>
    <w:p>
      <w:pPr>
        <w:ind w:left="900" w:hanging="450"/>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KemPharm, Inc.;</w:t>
      </w:r>
    </w:p>
    <w:p>
      <w:pPr>
        <w:spacing w:after="0" w:line="19" w:lineRule="exact"/>
        <w:rPr>
          <w:rFonts w:ascii="Arial" w:cs="Arial" w:eastAsia="Arial" w:hAnsi="Arial"/>
          <w:sz w:val="16"/>
          <w:szCs w:val="16"/>
          <w:color w:val="auto"/>
        </w:rPr>
      </w:pPr>
    </w:p>
    <w:p>
      <w:pPr>
        <w:ind w:left="900" w:hanging="450"/>
        <w:spacing w:after="0" w:line="266" w:lineRule="auto"/>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hanging="450"/>
        <w:spacing w:after="0" w:line="249"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00" w:right="20" w:hanging="450"/>
        <w:spacing w:after="0" w:line="249"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460" w:right="20" w:hanging="449"/>
        <w:spacing w:after="0" w:line="249" w:lineRule="auto"/>
        <w:tabs>
          <w:tab w:leader="none" w:pos="1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460" w:right="20" w:hanging="449"/>
        <w:spacing w:after="0" w:line="249" w:lineRule="auto"/>
        <w:tabs>
          <w:tab w:leader="none" w:pos="1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460" w:right="20" w:hanging="449"/>
        <w:spacing w:after="0" w:line="249" w:lineRule="auto"/>
        <w:tabs>
          <w:tab w:leader="none" w:pos="1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49"/>
        <w:spacing w:after="0" w:line="249" w:lineRule="auto"/>
        <w:tabs>
          <w:tab w:leader="none" w:pos="1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00" w:right="20" w:hanging="450"/>
        <w:spacing w:after="0" w:line="249"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hanging="449"/>
        <w:spacing w:after="0" w:line="249" w:lineRule="auto"/>
        <w:tabs>
          <w:tab w:leader="none" w:pos="1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right="20" w:hanging="449"/>
        <w:spacing w:after="0" w:line="258" w:lineRule="auto"/>
        <w:tabs>
          <w:tab w:leader="none" w:pos="1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00" w:type="dxa"/>
            <w:vAlign w:val="bottom"/>
          </w:tcPr>
          <w:p>
            <w:pPr>
              <w:spacing w:after="0"/>
              <w:rPr>
                <w:sz w:val="20"/>
                <w:szCs w:val="20"/>
                <w:color w:val="auto"/>
              </w:rPr>
            </w:pPr>
            <w:r>
              <w:rPr>
                <w:rFonts w:ascii="Arial" w:cs="Arial" w:eastAsia="Arial" w:hAnsi="Arial"/>
                <w:sz w:val="16"/>
                <w:szCs w:val="16"/>
                <w:color w:val="auto"/>
              </w:rPr>
              <w:t>March 11, 2021</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 LaDuane Clifton</w:t>
            </w:r>
          </w:p>
        </w:tc>
      </w:tr>
      <w:tr>
        <w:trPr>
          <w:trHeight w:val="171"/>
        </w:trPr>
        <w:tc>
          <w:tcPr>
            <w:tcW w:w="6100" w:type="dxa"/>
            <w:vAlign w:val="bottom"/>
          </w:tcPr>
          <w:p>
            <w:pPr>
              <w:spacing w:after="0"/>
              <w:rPr>
                <w:sz w:val="14"/>
                <w:szCs w:val="14"/>
                <w:color w:val="auto"/>
              </w:rPr>
            </w:pPr>
          </w:p>
        </w:tc>
        <w:tc>
          <w:tcPr>
            <w:tcW w:w="5160" w:type="dxa"/>
            <w:vAlign w:val="bottom"/>
          </w:tcPr>
          <w:p>
            <w:pPr>
              <w:spacing w:after="0" w:line="171" w:lineRule="exact"/>
              <w:rPr>
                <w:sz w:val="20"/>
                <w:szCs w:val="20"/>
                <w:color w:val="auto"/>
              </w:rPr>
            </w:pPr>
            <w:r>
              <w:rPr>
                <w:rFonts w:ascii="Arial" w:cs="Arial" w:eastAsia="Arial" w:hAnsi="Arial"/>
                <w:sz w:val="16"/>
                <w:szCs w:val="16"/>
                <w:color w:val="auto"/>
              </w:rPr>
              <w:t>Name:R. LaDuane Clifton, CPA</w:t>
            </w:r>
          </w:p>
        </w:tc>
      </w:tr>
      <w:tr>
        <w:trPr>
          <w:trHeight w:val="191"/>
        </w:trPr>
        <w:tc>
          <w:tcPr>
            <w:tcW w:w="61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Title: Chief Financial Officer, Secretary and Treasurer</w:t>
            </w:r>
          </w:p>
        </w:tc>
      </w:tr>
      <w:tr>
        <w:trPr>
          <w:trHeight w:val="204"/>
        </w:trPr>
        <w:tc>
          <w:tcPr>
            <w:tcW w:w="6100" w:type="dxa"/>
            <w:vAlign w:val="bottom"/>
          </w:tcPr>
          <w:p>
            <w:pPr>
              <w:spacing w:after="0"/>
              <w:rPr>
                <w:sz w:val="17"/>
                <w:szCs w:val="17"/>
                <w:color w:val="auto"/>
              </w:rPr>
            </w:pPr>
          </w:p>
        </w:tc>
        <w:tc>
          <w:tcPr>
            <w:tcW w:w="5160" w:type="dxa"/>
            <w:vAlign w:val="bottom"/>
          </w:tcPr>
          <w:p>
            <w:pPr>
              <w:ind w:left="44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260"/>
          </w:cols>
          <w:pgMar w:left="320" w:top="123"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THE PRINCIPAL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18 U.S.C. SECTION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connection with the Annual Report on Form 10-K of KemPharm, Inc., (the “Company”) for the fiscal year ended December 31, 2020,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900" w:hanging="450"/>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 w:lineRule="exact"/>
        <w:rPr>
          <w:rFonts w:ascii="Arial" w:cs="Arial" w:eastAsia="Arial" w:hAnsi="Arial"/>
          <w:sz w:val="16"/>
          <w:szCs w:val="16"/>
          <w:color w:val="auto"/>
        </w:rPr>
      </w:pPr>
    </w:p>
    <w:p>
      <w:pPr>
        <w:ind w:left="900" w:hanging="450"/>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00" w:type="dxa"/>
            <w:vAlign w:val="bottom"/>
          </w:tcPr>
          <w:p>
            <w:pPr>
              <w:spacing w:after="0"/>
              <w:rPr>
                <w:sz w:val="20"/>
                <w:szCs w:val="20"/>
                <w:color w:val="auto"/>
              </w:rPr>
            </w:pPr>
            <w:r>
              <w:rPr>
                <w:rFonts w:ascii="Arial" w:cs="Arial" w:eastAsia="Arial" w:hAnsi="Arial"/>
                <w:sz w:val="16"/>
                <w:szCs w:val="16"/>
                <w:color w:val="auto"/>
              </w:rPr>
              <w:t>March 11, 2021</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Travis C. Mickle</w:t>
            </w:r>
          </w:p>
        </w:tc>
      </w:tr>
      <w:tr>
        <w:trPr>
          <w:trHeight w:val="171"/>
        </w:trPr>
        <w:tc>
          <w:tcPr>
            <w:tcW w:w="6100" w:type="dxa"/>
            <w:vAlign w:val="bottom"/>
          </w:tcPr>
          <w:p>
            <w:pPr>
              <w:spacing w:after="0"/>
              <w:rPr>
                <w:sz w:val="14"/>
                <w:szCs w:val="14"/>
                <w:color w:val="auto"/>
              </w:rPr>
            </w:pPr>
          </w:p>
        </w:tc>
        <w:tc>
          <w:tcPr>
            <w:tcW w:w="5160" w:type="dxa"/>
            <w:vAlign w:val="bottom"/>
          </w:tcPr>
          <w:p>
            <w:pPr>
              <w:spacing w:after="0" w:line="171" w:lineRule="exact"/>
              <w:rPr>
                <w:sz w:val="20"/>
                <w:szCs w:val="20"/>
                <w:color w:val="auto"/>
              </w:rPr>
            </w:pPr>
            <w:r>
              <w:rPr>
                <w:rFonts w:ascii="Arial" w:cs="Arial" w:eastAsia="Arial" w:hAnsi="Arial"/>
                <w:sz w:val="16"/>
                <w:szCs w:val="16"/>
                <w:color w:val="auto"/>
              </w:rPr>
              <w:t>Name:Travis C. Mickle, Ph.D.</w:t>
            </w:r>
          </w:p>
        </w:tc>
      </w:tr>
      <w:tr>
        <w:trPr>
          <w:trHeight w:val="191"/>
        </w:trPr>
        <w:tc>
          <w:tcPr>
            <w:tcW w:w="61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Title: President and Chief Executive Officer</w:t>
            </w:r>
          </w:p>
        </w:tc>
      </w:tr>
      <w:tr>
        <w:trPr>
          <w:trHeight w:val="204"/>
        </w:trPr>
        <w:tc>
          <w:tcPr>
            <w:tcW w:w="6100" w:type="dxa"/>
            <w:vAlign w:val="bottom"/>
          </w:tcPr>
          <w:p>
            <w:pPr>
              <w:spacing w:after="0"/>
              <w:rPr>
                <w:sz w:val="17"/>
                <w:szCs w:val="17"/>
                <w:color w:val="auto"/>
              </w:rPr>
            </w:pPr>
          </w:p>
        </w:tc>
        <w:tc>
          <w:tcPr>
            <w:tcW w:w="5160" w:type="dxa"/>
            <w:vAlign w:val="bottom"/>
          </w:tcPr>
          <w:p>
            <w:pPr>
              <w:ind w:left="440"/>
              <w:spacing w:after="0"/>
              <w:rPr>
                <w:sz w:val="20"/>
                <w:szCs w:val="20"/>
                <w:color w:val="auto"/>
              </w:rPr>
            </w:pPr>
            <w:r>
              <w:rPr>
                <w:rFonts w:ascii="Arial" w:cs="Arial" w:eastAsia="Arial" w:hAnsi="Arial"/>
                <w:sz w:val="16"/>
                <w:szCs w:val="16"/>
                <w:color w:val="auto"/>
              </w:rPr>
              <w:t>(Principal Executive Officer)</w:t>
            </w:r>
          </w:p>
        </w:tc>
      </w:tr>
    </w:tbl>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60"/>
          </w:cols>
          <w:pgMar w:left="320" w:top="123"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THE PRINCIPAL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18 U.S.C. SECTION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connection with the Annual Report on Form 10-K of KemPharm, Inc., (the “Company”) for the fiscal year ended December 31, 2020,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900" w:hanging="450"/>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 w:lineRule="exact"/>
        <w:rPr>
          <w:rFonts w:ascii="Arial" w:cs="Arial" w:eastAsia="Arial" w:hAnsi="Arial"/>
          <w:sz w:val="16"/>
          <w:szCs w:val="16"/>
          <w:color w:val="auto"/>
        </w:rPr>
      </w:pPr>
    </w:p>
    <w:p>
      <w:pPr>
        <w:ind w:left="900" w:hanging="450"/>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00" w:type="dxa"/>
            <w:vAlign w:val="bottom"/>
          </w:tcPr>
          <w:p>
            <w:pPr>
              <w:spacing w:after="0"/>
              <w:rPr>
                <w:sz w:val="20"/>
                <w:szCs w:val="20"/>
                <w:color w:val="auto"/>
              </w:rPr>
            </w:pPr>
            <w:r>
              <w:rPr>
                <w:rFonts w:ascii="Arial" w:cs="Arial" w:eastAsia="Arial" w:hAnsi="Arial"/>
                <w:sz w:val="16"/>
                <w:szCs w:val="16"/>
                <w:color w:val="auto"/>
              </w:rPr>
              <w:t>March 11, 2021</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 LaDuane Clifton</w:t>
            </w:r>
          </w:p>
        </w:tc>
      </w:tr>
      <w:tr>
        <w:trPr>
          <w:trHeight w:val="171"/>
        </w:trPr>
        <w:tc>
          <w:tcPr>
            <w:tcW w:w="6100" w:type="dxa"/>
            <w:vAlign w:val="bottom"/>
          </w:tcPr>
          <w:p>
            <w:pPr>
              <w:spacing w:after="0"/>
              <w:rPr>
                <w:sz w:val="14"/>
                <w:szCs w:val="14"/>
                <w:color w:val="auto"/>
              </w:rPr>
            </w:pPr>
          </w:p>
        </w:tc>
        <w:tc>
          <w:tcPr>
            <w:tcW w:w="5160" w:type="dxa"/>
            <w:vAlign w:val="bottom"/>
          </w:tcPr>
          <w:p>
            <w:pPr>
              <w:spacing w:after="0" w:line="171" w:lineRule="exact"/>
              <w:rPr>
                <w:sz w:val="20"/>
                <w:szCs w:val="20"/>
                <w:color w:val="auto"/>
              </w:rPr>
            </w:pPr>
            <w:r>
              <w:rPr>
                <w:rFonts w:ascii="Arial" w:cs="Arial" w:eastAsia="Arial" w:hAnsi="Arial"/>
                <w:sz w:val="16"/>
                <w:szCs w:val="16"/>
                <w:color w:val="auto"/>
              </w:rPr>
              <w:t>Name:R. LaDuane Clifton, CPA</w:t>
            </w:r>
          </w:p>
        </w:tc>
      </w:tr>
      <w:tr>
        <w:trPr>
          <w:trHeight w:val="191"/>
        </w:trPr>
        <w:tc>
          <w:tcPr>
            <w:tcW w:w="61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Title: Chief Financial Officer, Secretary and Treasurer</w:t>
            </w:r>
          </w:p>
        </w:tc>
      </w:tr>
      <w:tr>
        <w:trPr>
          <w:trHeight w:val="204"/>
        </w:trPr>
        <w:tc>
          <w:tcPr>
            <w:tcW w:w="6100" w:type="dxa"/>
            <w:vAlign w:val="bottom"/>
          </w:tcPr>
          <w:p>
            <w:pPr>
              <w:spacing w:after="0"/>
              <w:rPr>
                <w:sz w:val="17"/>
                <w:szCs w:val="17"/>
                <w:color w:val="auto"/>
              </w:rPr>
            </w:pPr>
          </w:p>
        </w:tc>
        <w:tc>
          <w:tcPr>
            <w:tcW w:w="5160" w:type="dxa"/>
            <w:vAlign w:val="bottom"/>
          </w:tcPr>
          <w:p>
            <w:pPr>
              <w:ind w:left="440"/>
              <w:spacing w:after="0"/>
              <w:rPr>
                <w:sz w:val="20"/>
                <w:szCs w:val="20"/>
                <w:color w:val="auto"/>
              </w:rPr>
            </w:pPr>
            <w:r>
              <w:rPr>
                <w:rFonts w:ascii="Arial" w:cs="Arial" w:eastAsia="Arial" w:hAnsi="Arial"/>
                <w:sz w:val="16"/>
                <w:szCs w:val="16"/>
                <w:color w:val="auto"/>
              </w:rPr>
              <w:t>(Principal Financial Officer)</w:t>
            </w:r>
          </w:p>
        </w:tc>
      </w:tr>
    </w:tbl>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1"/>
      <w:numFmt w:val="upperLetter"/>
      <w:start w:val="68"/>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lowerRoman"/>
      <w:start w:val="2"/>
    </w:lvl>
  </w:abstractNum>
  <w:abstractNum w:abstractNumId="42">
    <w:nsid w:val="5FF87E05"/>
    <w:multiLevelType w:val="hybridMultilevel"/>
    <w:lvl w:ilvl="0">
      <w:lvlJc w:val="left"/>
      <w:lvlText w:val="(%1)"/>
      <w:numFmt w:val="lowerRoman"/>
      <w:start w:val="1"/>
    </w:lvl>
  </w:abstractNum>
  <w:abstractNum w:abstractNumId="43">
    <w:nsid w:val="2F305DEF"/>
    <w:multiLevelType w:val="hybridMultilevel"/>
    <w:lvl w:ilvl="0">
      <w:lvlJc w:val="left"/>
      <w:lvlText w:val="(%1)"/>
      <w:numFmt w:val="lowerRoman"/>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2"/>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lvl w:ilvl="1">
      <w:lvlJc w:val="left"/>
      <w:lvlText w:val="○"/>
      <w:numFmt w:val="bullet"/>
      <w:start w:val="1"/>
    </w:lvl>
  </w:abstractNum>
  <w:abstractNum w:abstractNumId="50">
    <w:nsid w:val="100F8FCA"/>
    <w:multiLevelType w:val="hybridMultilevel"/>
    <w:lvl w:ilvl="0">
      <w:lvlJc w:val="left"/>
      <w:lvlText w:val="%1."/>
      <w:numFmt w:val="upperLetter"/>
      <w:start w:val="1"/>
    </w:lvl>
  </w:abstractNum>
  <w:abstractNum w:abstractNumId="51">
    <w:nsid w:val="6590700B"/>
    <w:multiLevelType w:val="hybridMultilevel"/>
    <w:lvl w:ilvl="0">
      <w:lvlJc w:val="left"/>
      <w:lvlText w:val="%1."/>
      <w:numFmt w:val="upperLetter"/>
      <w:start w:val="2"/>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upperLetter"/>
      <w:start w:val="3"/>
    </w:lvl>
  </w:abstractNum>
  <w:abstractNum w:abstractNumId="54">
    <w:nsid w:val="98A3148"/>
    <w:multiLevelType w:val="hybridMultilevel"/>
    <w:lvl w:ilvl="0">
      <w:lvlJc w:val="left"/>
      <w:lvlText w:val="%1."/>
      <w:numFmt w:val="upperLetter"/>
      <w:start w:val="7"/>
    </w:lvl>
  </w:abstractNum>
  <w:abstractNum w:abstractNumId="55">
    <w:nsid w:val="799D0247"/>
    <w:multiLevelType w:val="hybridMultilevel"/>
    <w:lvl w:ilvl="0">
      <w:lvlJc w:val="left"/>
      <w:lvlText w:val="(%1)"/>
      <w:numFmt w:val="lowerRoman"/>
      <w:start w:val="2"/>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1)"/>
      <w:numFmt w:val="lowerRoman"/>
      <w:start w:val="4"/>
    </w:lvl>
  </w:abstractNum>
  <w:abstractNum w:abstractNumId="60">
    <w:nsid w:val="661E3F1E"/>
    <w:multiLevelType w:val="hybridMultilevel"/>
    <w:lvl w:ilvl="0">
      <w:lvlJc w:val="left"/>
      <w:lvlText w:val="%1."/>
      <w:numFmt w:val="upperLetter"/>
      <w:start w:val="8"/>
    </w:lvl>
  </w:abstractNum>
  <w:abstractNum w:abstractNumId="61">
    <w:nsid w:val="5DC79EA8"/>
    <w:multiLevelType w:val="hybridMultilevel"/>
    <w:lvl w:ilvl="0">
      <w:lvlJc w:val="left"/>
      <w:lvlText w:val="%1."/>
      <w:numFmt w:val="upperLetter"/>
      <w:start w:val="9"/>
    </w:lvl>
  </w:abstractNum>
  <w:abstractNum w:abstractNumId="62">
    <w:nsid w:val="540A471C"/>
    <w:multiLevelType w:val="hybridMultilevel"/>
    <w:lvl w:ilvl="0">
      <w:lvlJc w:val="left"/>
      <w:lvlText w:val="%1."/>
      <w:numFmt w:val="upperLetter"/>
      <w:start w:val="10"/>
    </w:lvl>
  </w:abstractNum>
  <w:abstractNum w:abstractNumId="63">
    <w:nsid w:val="7BD3EE7B"/>
    <w:multiLevelType w:val="hybridMultilevel"/>
    <w:lvl w:ilvl="0">
      <w:lvlJc w:val="left"/>
      <w:lvlText w:val="%1."/>
      <w:numFmt w:val="upperLetter"/>
      <w:start w:val="1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upperLetter"/>
      <w:start w:val="12"/>
    </w:lvl>
  </w:abstractNum>
  <w:abstractNum w:abstractNumId="66">
    <w:nsid w:val="BF72B14"/>
    <w:multiLevelType w:val="hybridMultilevel"/>
    <w:lvl w:ilvl="0">
      <w:lvlJc w:val="left"/>
      <w:lvlText w:val="%1."/>
      <w:numFmt w:val="upperLetter"/>
      <w:start w:val="13"/>
    </w:lvl>
  </w:abstractNum>
  <w:abstractNum w:abstractNumId="67">
    <w:nsid w:val="11447B73"/>
    <w:multiLevelType w:val="hybridMultilevel"/>
    <w:lvl w:ilvl="0">
      <w:lvlJc w:val="left"/>
      <w:lvlText w:val="%1."/>
      <w:numFmt w:val="upperLetter"/>
      <w:start w:val="14"/>
    </w:lvl>
  </w:abstractNum>
  <w:abstractNum w:abstractNumId="68">
    <w:nsid w:val="42963E5A"/>
    <w:multiLevelType w:val="hybridMultilevel"/>
    <w:lvl w:ilvl="0">
      <w:lvlJc w:val="left"/>
      <w:lvlText w:val="%1."/>
      <w:numFmt w:val="upperLetter"/>
      <w:start w:val="15"/>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upperLetter"/>
      <w:start w:val="16"/>
    </w:lvl>
  </w:abstractNum>
  <w:abstractNum w:abstractNumId="71">
    <w:nsid w:val="1A32234B"/>
    <w:multiLevelType w:val="hybridMultilevel"/>
    <w:lvl w:ilvl="0">
      <w:lvlJc w:val="left"/>
      <w:lvlText w:val="%1."/>
      <w:numFmt w:val="upperLetter"/>
      <w:start w:val="17"/>
    </w:lvl>
  </w:abstractNum>
  <w:abstractNum w:abstractNumId="72">
    <w:nsid w:val="3B0FD379"/>
    <w:multiLevelType w:val="hybridMultilevel"/>
    <w:lvl w:ilvl="0">
      <w:lvlJc w:val="left"/>
      <w:lvlText w:val="%1."/>
      <w:numFmt w:val="upperLetter"/>
      <w:start w:val="18"/>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decimal"/>
      <w:start w:val="1"/>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jpe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175" Type="http://schemas.openxmlformats.org/officeDocument/2006/relationships/hyperlink" Target="http://www.sec.gov/Archives/edgar/data/1434647/000119312515119078/d793437dex21.htm" TargetMode="External"/><Relationship Id="rId176" Type="http://schemas.openxmlformats.org/officeDocument/2006/relationships/hyperlink" Target="http://www.sec.gov/Archives/edgar/data/1434647/000119312515140072/d911803dex31.htm" TargetMode="External"/><Relationship Id="rId177" Type="http://schemas.openxmlformats.org/officeDocument/2006/relationships/hyperlink" Target="http://www.sec.gov/Archives/edgar/data/0001434647/000143774920025891/ex_218888.htm" TargetMode="External"/><Relationship Id="rId178" Type="http://schemas.openxmlformats.org/officeDocument/2006/relationships/hyperlink" Target="http://www.sec.gov/Archives/edgar/data/0001434647/000119312519237105/d759901dex31.htm" TargetMode="External"/><Relationship Id="rId179" Type="http://schemas.openxmlformats.org/officeDocument/2006/relationships/hyperlink" Target="http://www.sec.gov/Archives/edgar/data/1434647/000119312519237105/d759901dex32.htm" TargetMode="External"/><Relationship Id="rId180" Type="http://schemas.openxmlformats.org/officeDocument/2006/relationships/hyperlink" Target="http://www.sec.gov/Archives/edgar/data/0001434647/000143774920015351/ex_194015.htm" TargetMode="External"/><Relationship Id="rId181" Type="http://schemas.openxmlformats.org/officeDocument/2006/relationships/hyperlink" Target="http://www.sec.gov/Archives/edgar/data/1434647/000119312515140072/d911803dex32.htm" TargetMode="External"/><Relationship Id="rId182" Type="http://schemas.openxmlformats.org/officeDocument/2006/relationships/hyperlink" Target="http://www.sec.gov/Archives/edgar/data/1434647/000119312520322271/d93666dex410.htm" TargetMode="External"/><Relationship Id="rId183" Type="http://schemas.openxmlformats.org/officeDocument/2006/relationships/hyperlink" Target="http://www.sec.gov/Archives/edgar/data/1434647/000119312520322271/d93666dex411.htm" TargetMode="External"/><Relationship Id="rId184" Type="http://schemas.openxmlformats.org/officeDocument/2006/relationships/hyperlink" Target="http://www.sec.gov/Archives/edgar/data/1434647/000119312521007494/d848409dex43.htm" TargetMode="External"/><Relationship Id="rId185" Type="http://schemas.openxmlformats.org/officeDocument/2006/relationships/hyperlink" Target="http://www.sec.gov/Archives/edgar/data/1434647/000119312521007494/d848409dex44.htm" TargetMode="External"/><Relationship Id="rId186" Type="http://schemas.openxmlformats.org/officeDocument/2006/relationships/hyperlink" Target="http://www.sec.gov/Archives/edgar/data/1434647/000143774921001230/ex_222593.htm" TargetMode="External"/><Relationship Id="rId187" Type="http://schemas.openxmlformats.org/officeDocument/2006/relationships/hyperlink" Target="http://www.sec.gov/Archives/edgar/data/1434647/000119312515119078/d793437dex101.htm" TargetMode="External"/><Relationship Id="rId188" Type="http://schemas.openxmlformats.org/officeDocument/2006/relationships/hyperlink" Target="http://www.sec.gov/Archives/edgar/data/1434647/000143774921002351/ex_225425.htm" TargetMode="External"/><Relationship Id="rId189" Type="http://schemas.openxmlformats.org/officeDocument/2006/relationships/hyperlink" Target="http://www.sec.gov/Archives/edgar/data/1434647/000156459016011814/kmph-ex101_35.htm" TargetMode="External"/><Relationship Id="rId190" Type="http://schemas.openxmlformats.org/officeDocument/2006/relationships/hyperlink" Target="http://www.sec.gov/Archives/edgar/data/1434647/000119312516728641/d273331dex102.htm" TargetMode="External"/><Relationship Id="rId191" Type="http://schemas.openxmlformats.org/officeDocument/2006/relationships/hyperlink" Target="http://www.sec.gov/Archives/edgar/data/1434647/000143774918021146/ex_130426.htm" TargetMode="External"/><Relationship Id="rId192" Type="http://schemas.openxmlformats.org/officeDocument/2006/relationships/hyperlink" Target="http://www.sec.gov/Archives/edgar/data/1434647/000143774919003789/ex_136276.htm" TargetMode="External"/><Relationship Id="rId193" Type="http://schemas.openxmlformats.org/officeDocument/2006/relationships/hyperlink" Target="http://www.sec.gov/Archives/edgar/data/1434647/000119312520039368/d832312dex103.htm" TargetMode="External"/><Relationship Id="rId194" Type="http://schemas.openxmlformats.org/officeDocument/2006/relationships/hyperlink" Target="http://www.sec.gov/Archives/edgar/data/1434647/000119312521007494/d848409dex101.htm" TargetMode="External"/><Relationship Id="rId195" Type="http://schemas.openxmlformats.org/officeDocument/2006/relationships/hyperlink" Target="http://www.sec.gov/Archives/edgar/data/1434647/000119312515087360/d793437dex105.htm" TargetMode="External"/><Relationship Id="rId196" Type="http://schemas.openxmlformats.org/officeDocument/2006/relationships/hyperlink" Target="http://www.sec.gov/Archives/edgar/data/1434647/000119312515087360/d793437dex107.htm" TargetMode="External"/><Relationship Id="rId197" Type="http://schemas.openxmlformats.org/officeDocument/2006/relationships/hyperlink" Target="http://www.sec.gov/Archives/edgar/data/1434647/000119312515087360/d793437dex103.htm" TargetMode="External"/><Relationship Id="rId198" Type="http://schemas.openxmlformats.org/officeDocument/2006/relationships/hyperlink" Target="http://www.sec.gov/Archives/edgar/data/1434647/000119312515119078/d793437dex1010.htm" TargetMode="External"/><Relationship Id="rId199" Type="http://schemas.openxmlformats.org/officeDocument/2006/relationships/hyperlink" Target="http://www.sec.gov/Archives/edgar/data/1434647/000119312515087360/d793437dex1011.htm" TargetMode="External"/><Relationship Id="rId200" Type="http://schemas.openxmlformats.org/officeDocument/2006/relationships/hyperlink" Target="http://www.sec.gov/Archives/edgar/data/1434647/000119312515087360/d793437dex1012.htm" TargetMode="External"/><Relationship Id="rId201" Type="http://schemas.openxmlformats.org/officeDocument/2006/relationships/hyperlink" Target="http://www.sec.gov/Archives/edgar/data/1434647/000119312515087360/d793437dex1013.htm" TargetMode="External"/><Relationship Id="rId202" Type="http://schemas.openxmlformats.org/officeDocument/2006/relationships/hyperlink" Target="http://www.sec.gov/Archives/edgar/data/1434647/000119312515119078/d793437dex1014.htm" TargetMode="External"/><Relationship Id="rId203" Type="http://schemas.openxmlformats.org/officeDocument/2006/relationships/hyperlink" Target="http://www.sec.gov/Archives/edgar/data/1434647/000119312515087360/d793437dex1015.htm" TargetMode="External"/><Relationship Id="rId204" Type="http://schemas.openxmlformats.org/officeDocument/2006/relationships/hyperlink" Target="http://www.sec.gov/Archives/edgar/data/1434647/000119312515087360/d793437dex1016.htm" TargetMode="External"/><Relationship Id="rId205" Type="http://schemas.openxmlformats.org/officeDocument/2006/relationships/hyperlink" Target="http://www.sec.gov/Archives/edgar/data/1434647/000143774919009870/ex_144816.htm" TargetMode="External"/><Relationship Id="rId206" Type="http://schemas.openxmlformats.org/officeDocument/2006/relationships/hyperlink" Target="http://www.sec.gov/Archives/edgar/data/1434647/000119312515087360/d793437dex1017.htm" TargetMode="External"/><Relationship Id="rId207" Type="http://schemas.openxmlformats.org/officeDocument/2006/relationships/hyperlink" Target="http://www.sec.gov/Archives/edgar/data/1434647/000156459015007410/kmph-ex107_273.htm" TargetMode="External"/><Relationship Id="rId208" Type="http://schemas.openxmlformats.org/officeDocument/2006/relationships/hyperlink" Target="http://www.sec.gov/Archives/edgar/data/1434647/000156459015010727/kmph-ex102_27.htm" TargetMode="External"/><Relationship Id="rId209" Type="http://schemas.openxmlformats.org/officeDocument/2006/relationships/hyperlink" Target="http://www.sec.gov/Archives/edgar/data/1434647/000119312515087360/d793437dex1020.htm" TargetMode="External"/><Relationship Id="rId210" Type="http://schemas.openxmlformats.org/officeDocument/2006/relationships/hyperlink" Target="http://www.sec.gov/Archives/edgar/data/1434647/000156459015010727/kmph-ex101_26.htm" TargetMode="External"/><Relationship Id="rId211" Type="http://schemas.openxmlformats.org/officeDocument/2006/relationships/hyperlink" Target="http://www.sec.gov/Archives/edgar/data/1434647/000119312515087360/d793437dex1019.htm" TargetMode="External"/><Relationship Id="rId212" Type="http://schemas.openxmlformats.org/officeDocument/2006/relationships/hyperlink" Target="http://www.sec.gov/Archives/edgar/data/1434647/000156459015010727/kmph-ex104_29.htm" TargetMode="External"/><Relationship Id="rId213" Type="http://schemas.openxmlformats.org/officeDocument/2006/relationships/hyperlink" Target="http://www.sec.gov/Archives/edgar/data/1434647/000156459016019302/kmph-ex104_84.htm" TargetMode="External"/><Relationship Id="rId214" Type="http://schemas.openxmlformats.org/officeDocument/2006/relationships/hyperlink" Target="http://www.sec.gov/Archives/edgar/data/1434647/000143774917004317/ex10-28.htm" TargetMode="External"/><Relationship Id="rId215" Type="http://schemas.openxmlformats.org/officeDocument/2006/relationships/hyperlink" Target="http://www.sec.gov/Archives/edgar/data/1434647/000143774917004317/ex10-29.htm" TargetMode="External"/><Relationship Id="rId216" Type="http://schemas.openxmlformats.org/officeDocument/2006/relationships/hyperlink" Target="http://www.sec.gov/Archives/edgar/data/1434647/000143774917004317/ex10-30.htm" TargetMode="External"/><Relationship Id="rId217" Type="http://schemas.openxmlformats.org/officeDocument/2006/relationships/hyperlink" Target="http://www.sec.gov/Archives/edgar/data/1434647/000143774917004317/ex10-31.htm" TargetMode="External"/><Relationship Id="rId218" Type="http://schemas.openxmlformats.org/officeDocument/2006/relationships/hyperlink" Target="http://www.sec.gov/Archives/edgar/data/1434647/000143774919003789/ex_136268.htm" TargetMode="External"/><Relationship Id="rId219" Type="http://schemas.openxmlformats.org/officeDocument/2006/relationships/hyperlink" Target="http://www.sec.gov/Archives/edgar/data/1434647/000143774919003789/ex_136269.htm" TargetMode="External"/><Relationship Id="rId220" Type="http://schemas.openxmlformats.org/officeDocument/2006/relationships/hyperlink" Target="http://www.sec.gov/Archives/edgar/data/1434647/000119312520039368/d832312dex101.htm" TargetMode="External"/><Relationship Id="rId221" Type="http://schemas.openxmlformats.org/officeDocument/2006/relationships/hyperlink" Target="http://www.sec.gov/Archives/edgar/data/1434647/000119312519237105/d759901dex102.htm" TargetMode="External"/><Relationship Id="rId222" Type="http://schemas.openxmlformats.org/officeDocument/2006/relationships/hyperlink" Target="http://www.sec.gov/Archives/edgar/data/1434647/000143774921001230/ex_2225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2021-03-12T05:26:11Z</dcterms:created>
  <dcterms:modified xsi:type="dcterms:W3CDTF">2021-03-12T05:26:11Z</dcterms:modified>
</cp:coreProperties>
</file>