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quarterly perio</w:t>
      </w:r>
      <w:r>
        <w:rPr>
          <w:rFonts w:ascii="Times New Roman;serif" w:hAnsi="Times New Roman;serif"/>
          <w:b/>
          <w:color w:val="000000"/>
          <w:sz w:val="20"/>
          <w:shd w:fill="FFFFFF" w:val="clear"/>
        </w:rPr>
        <w:t xml:space="preserve">d ended </w:t>
      </w: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001-36913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tbl>
      <w:tblPr>
        <w:tblW w:w="8845" w:type="dxa"/>
        <w:jc w:val="left"/>
        <w:tblInd w:w="0" w:type="dxa"/>
        <w:tblLayout w:type="fixed"/>
        <w:tblCellMar>
          <w:top w:w="28" w:type="dxa"/>
          <w:left w:w="28" w:type="dxa"/>
          <w:bottom w:w="28" w:type="dxa"/>
          <w:right w:w="28" w:type="dxa"/>
        </w:tblCellMar>
      </w:tblPr>
      <w:tblGrid>
        <w:gridCol w:w="1948"/>
        <w:gridCol w:w="1708"/>
        <w:gridCol w:w="1728"/>
        <w:gridCol w:w="109"/>
        <w:gridCol w:w="109"/>
        <w:gridCol w:w="109"/>
        <w:gridCol w:w="915"/>
        <w:gridCol w:w="915"/>
        <w:gridCol w:w="1304"/>
      </w:tblGrid>
      <w:tr>
        <w:trPr/>
        <w:tc>
          <w:tcPr>
            <w:tcW w:w="194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20-5894398</w:t>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101 Federal Street, Boston,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02110</w:t>
            </w:r>
          </w:p>
        </w:tc>
      </w:tr>
      <w:tr>
        <w:trPr/>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tbl>
      <w:tblPr>
        <w:tblW w:w="7589" w:type="dxa"/>
        <w:jc w:val="left"/>
        <w:tblInd w:w="0" w:type="dxa"/>
        <w:tblLayout w:type="fixed"/>
        <w:tblCellMar>
          <w:top w:w="28" w:type="dxa"/>
          <w:left w:w="28" w:type="dxa"/>
          <w:bottom w:w="28" w:type="dxa"/>
          <w:right w:w="28" w:type="dxa"/>
        </w:tblCellMar>
      </w:tblPr>
      <w:tblGrid>
        <w:gridCol w:w="2424"/>
        <w:gridCol w:w="2134"/>
        <w:gridCol w:w="3031"/>
      </w:tblGrid>
      <w:tr>
        <w:trPr/>
        <w:tc>
          <w:tcPr>
            <w:tcW w:w="2424"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958-1253</w:t>
            </w:r>
          </w:p>
        </w:tc>
      </w:tr>
      <w:tr>
        <w:trPr/>
        <w:tc>
          <w:tcPr>
            <w:tcW w:w="7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834" w:type="dxa"/>
        <w:jc w:val="center"/>
        <w:tblInd w:w="0" w:type="dxa"/>
        <w:tblLayout w:type="fixed"/>
        <w:tblCellMar>
          <w:top w:w="28" w:type="dxa"/>
          <w:left w:w="28" w:type="dxa"/>
          <w:bottom w:w="28" w:type="dxa"/>
          <w:right w:w="28" w:type="dxa"/>
        </w:tblCellMar>
      </w:tblPr>
      <w:tblGrid>
        <w:gridCol w:w="1342"/>
        <w:gridCol w:w="1174"/>
        <w:gridCol w:w="1189"/>
        <w:gridCol w:w="474"/>
        <w:gridCol w:w="474"/>
        <w:gridCol w:w="476"/>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6" w:space="0" w:color="000000"/>
              <w:left w:val="single" w:sz="6" w:space="0" w:color="000000"/>
              <w:right w:val="single" w:sz="6"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424"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ZVRA</w:t>
            </w:r>
          </w:p>
        </w:tc>
        <w:tc>
          <w:tcPr>
            <w:tcW w:w="3705" w:type="dxa"/>
            <w:gridSpan w:val="3"/>
            <w:tcBorders>
              <w:top w:val="single" w:sz="6" w:space="0" w:color="000000"/>
              <w:left w:val="single" w:sz="6" w:space="0" w:color="000000"/>
              <w:bottom w:val="single" w:sz="6" w:space="0" w:color="000000"/>
              <w:right w:val="single" w:sz="6" w:space="0" w:color="000000"/>
            </w:tcBorders>
            <w:tcMar>
              <w:top w:w="52"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shd w:fill="FFFFFF" w:val="clear"/>
        </w:rPr>
        <w:t>o</w:t>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     No </w:t>
      </w:r>
      <w:r>
        <w:rPr>
          <w:rFonts w:ascii="Wingdings;sans-serif" w:hAnsi="Wingdings;sans-serif"/>
          <w:b w:val="false"/>
          <w:color w:val="000000"/>
          <w:sz w:val="20"/>
        </w:rPr>
        <w:t>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of July 31, 2026, the registrant had 59,383,781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334"/>
        <w:gridCol w:w="217"/>
        <w:gridCol w:w="210"/>
        <w:gridCol w:w="2825"/>
        <w:gridCol w:w="2642"/>
        <w:gridCol w:w="2648"/>
        <w:gridCol w:w="385"/>
        <w:gridCol w:w="385"/>
        <w:gridCol w:w="559"/>
      </w:tblGrid>
      <w:tr>
        <w:trPr/>
        <w:tc>
          <w:tcPr>
            <w:tcW w:w="3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6">
              <w:r>
                <w:rPr>
                  <w:rStyle w:val="InternetLink"/>
                  <w:rFonts w:ascii="Times New Roman;serif" w:hAnsi="Times New Roman;serif"/>
                  <w:b/>
                  <w:color w:val="0000FF"/>
                  <w:sz w:val="20"/>
                  <w:u w:val="single"/>
                </w:rPr>
                <w:t>PART I — FINANCIAL INFORMATION</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9">
              <w:r>
                <w:rPr>
                  <w:rStyle w:val="InternetLink"/>
                  <w:rFonts w:ascii="Times New Roman;serif" w:hAnsi="Times New Roman;serif"/>
                  <w:b w:val="false"/>
                  <w:color w:val="0000FF"/>
                  <w:sz w:val="20"/>
                  <w:u w:val="single"/>
                </w:rPr>
                <w:t>ITEM 1.</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9">
              <w:r>
                <w:rPr>
                  <w:rStyle w:val="InternetLink"/>
                  <w:rFonts w:ascii="Times New Roman;serif" w:hAnsi="Times New Roman;serif"/>
                  <w:b w:val="false"/>
                  <w:color w:val="0000FF"/>
                  <w:sz w:val="20"/>
                  <w:u w:val="single"/>
                </w:rPr>
                <w:t>FINANCIAL STATEMENTS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22">
              <w:r>
                <w:rPr>
                  <w:rStyle w:val="InternetLink"/>
                  <w:rFonts w:ascii="Times New Roman;serif" w:hAnsi="Times New Roman;serif"/>
                  <w:b w:val="false"/>
                  <w:color w:val="000080"/>
                  <w:sz w:val="20"/>
                  <w:u w:val="single"/>
                </w:rPr>
                <w:t xml:space="preserve">UNAUDITED CONDENSED CONSOLIDATED BALANCE SHEETS AS OF </w:t>
              </w:r>
            </w:hyperlink>
            <w:hyperlink w:anchor="iea03b4e765da4f70803c4c4172d6bc86_22">
              <w:r>
                <w:rPr>
                  <w:rStyle w:val="InternetLink"/>
                  <w:rFonts w:ascii="Times New Roman;serif" w:hAnsi="Times New Roman;serif"/>
                  <w:b w:val="false"/>
                  <w:color w:val="000080"/>
                  <w:sz w:val="20"/>
                  <w:u w:val="single"/>
                </w:rPr>
                <w:t>JUNE 30</w:t>
              </w:r>
            </w:hyperlink>
            <w:hyperlink w:anchor="iea03b4e765da4f70803c4c4172d6bc86_22">
              <w:r>
                <w:rPr>
                  <w:rStyle w:val="InternetLink"/>
                  <w:rFonts w:ascii="Times New Roman;serif" w:hAnsi="Times New Roman;serif"/>
                  <w:b w:val="false"/>
                  <w:color w:val="000080"/>
                  <w:sz w:val="20"/>
                  <w:u w:val="single"/>
                </w:rPr>
                <w:t>, 2026, AND DECEMBER 31, 2025</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22">
              <w:r>
                <w:rPr>
                  <w:rStyle w:val="InternetLink"/>
                  <w:rFonts w:ascii="Times New Roman;serif" w:hAnsi="Times New Roman;serif"/>
                  <w:b w:val="false"/>
                  <w:color w:val="0000FF"/>
                  <w:sz w:val="20"/>
                  <w:u w:val="single"/>
                </w:rPr>
                <w:t>4</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25">
              <w:r>
                <w:rPr>
                  <w:rStyle w:val="InternetLink"/>
                  <w:rFonts w:ascii="Times New Roman;serif" w:hAnsi="Times New Roman;serif"/>
                  <w:b w:val="false"/>
                  <w:color w:val="000080"/>
                  <w:sz w:val="20"/>
                  <w:u w:val="single"/>
                </w:rPr>
                <w:t>UNAUDITED CONDENSED CONSOLIDATED STATEMENTS OF OPERATIONS FOR THE THREE</w:t>
              </w:r>
            </w:hyperlink>
            <w:hyperlink w:anchor="iea03b4e765da4f70803c4c4172d6bc86_25">
              <w:r>
                <w:rPr>
                  <w:rStyle w:val="InternetLink"/>
                  <w:rFonts w:ascii="Times New Roman;serif" w:hAnsi="Times New Roman;serif"/>
                  <w:b w:val="false"/>
                  <w:color w:val="000080"/>
                  <w:sz w:val="20"/>
                  <w:u w:val="single"/>
                </w:rPr>
                <w:t xml:space="preserve"> AND SIX</w:t>
              </w:r>
            </w:hyperlink>
            <w:hyperlink w:anchor="iea03b4e765da4f70803c4c4172d6bc86_25">
              <w:r>
                <w:rPr>
                  <w:rStyle w:val="InternetLink"/>
                  <w:rFonts w:ascii="Times New Roman;serif" w:hAnsi="Times New Roman;serif"/>
                  <w:b w:val="false"/>
                  <w:color w:val="000080"/>
                  <w:sz w:val="20"/>
                  <w:u w:val="single"/>
                </w:rPr>
                <w:t xml:space="preserve"> MONTHS ENDED </w:t>
              </w:r>
            </w:hyperlink>
            <w:hyperlink w:anchor="iea03b4e765da4f70803c4c4172d6bc86_25">
              <w:r>
                <w:rPr>
                  <w:rStyle w:val="InternetLink"/>
                  <w:rFonts w:ascii="Times New Roman;serif" w:hAnsi="Times New Roman;serif"/>
                  <w:b w:val="false"/>
                  <w:color w:val="000080"/>
                  <w:sz w:val="20"/>
                  <w:u w:val="single"/>
                </w:rPr>
                <w:t>JUNE 30</w:t>
              </w:r>
            </w:hyperlink>
            <w:hyperlink w:anchor="iea03b4e765da4f70803c4c4172d6bc86_25">
              <w:r>
                <w:rPr>
                  <w:rStyle w:val="InternetLink"/>
                  <w:rFonts w:ascii="Times New Roman;serif" w:hAnsi="Times New Roman;serif"/>
                  <w:b w:val="false"/>
                  <w:color w:val="000080"/>
                  <w:sz w:val="20"/>
                  <w:u w:val="single"/>
                </w:rPr>
                <w:t>, 2026, AND 2025</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25">
              <w:r>
                <w:rPr>
                  <w:rStyle w:val="InternetLink"/>
                  <w:rFonts w:ascii="Times New Roman;serif" w:hAnsi="Times New Roman;serif"/>
                  <w:b w:val="false"/>
                  <w:color w:val="0000FF"/>
                  <w:sz w:val="20"/>
                  <w:u w:val="single"/>
                </w:rPr>
                <w:t>5</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28">
              <w:r>
                <w:rPr>
                  <w:rStyle w:val="InternetLink"/>
                  <w:rFonts w:ascii="Times New Roman;serif" w:hAnsi="Times New Roman;serif"/>
                  <w:b w:val="false"/>
                  <w:color w:val="000080"/>
                  <w:sz w:val="20"/>
                  <w:u w:val="single"/>
                </w:rPr>
                <w:t xml:space="preserve">UNAUDITED CONDENSED CONSOLIDATED STATEMENTS OF COMPREHENSIVE INCOME (LOSS) FOR THE THREE </w:t>
              </w:r>
            </w:hyperlink>
            <w:hyperlink w:anchor="iea03b4e765da4f70803c4c4172d6bc86_28">
              <w:r>
                <w:rPr>
                  <w:rStyle w:val="InternetLink"/>
                  <w:rFonts w:ascii="Times New Roman;serif" w:hAnsi="Times New Roman;serif"/>
                  <w:b w:val="false"/>
                  <w:color w:val="000080"/>
                  <w:sz w:val="20"/>
                  <w:u w:val="single"/>
                </w:rPr>
                <w:t xml:space="preserve">AND SIX </w:t>
              </w:r>
            </w:hyperlink>
            <w:hyperlink w:anchor="iea03b4e765da4f70803c4c4172d6bc86_28">
              <w:r>
                <w:rPr>
                  <w:rStyle w:val="InternetLink"/>
                  <w:rFonts w:ascii="Times New Roman;serif" w:hAnsi="Times New Roman;serif"/>
                  <w:b w:val="false"/>
                  <w:color w:val="000080"/>
                  <w:sz w:val="20"/>
                  <w:u w:val="single"/>
                </w:rPr>
                <w:t xml:space="preserve">MONTHS ENDED </w:t>
              </w:r>
            </w:hyperlink>
            <w:hyperlink w:anchor="iea03b4e765da4f70803c4c4172d6bc86_28">
              <w:r>
                <w:rPr>
                  <w:rStyle w:val="InternetLink"/>
                  <w:rFonts w:ascii="Times New Roman;serif" w:hAnsi="Times New Roman;serif"/>
                  <w:b w:val="false"/>
                  <w:color w:val="000080"/>
                  <w:sz w:val="20"/>
                  <w:u w:val="single"/>
                </w:rPr>
                <w:t>JUNE 30</w:t>
              </w:r>
            </w:hyperlink>
            <w:hyperlink w:anchor="iea03b4e765da4f70803c4c4172d6bc86_28">
              <w:r>
                <w:rPr>
                  <w:rStyle w:val="InternetLink"/>
                  <w:rFonts w:ascii="Times New Roman;serif" w:hAnsi="Times New Roman;serif"/>
                  <w:b w:val="false"/>
                  <w:color w:val="000080"/>
                  <w:sz w:val="20"/>
                  <w:u w:val="single"/>
                </w:rPr>
                <w:t>, 2026, AND 2025</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28">
              <w:r>
                <w:rPr>
                  <w:rStyle w:val="InternetLink"/>
                  <w:rFonts w:ascii="Times New Roman;serif" w:hAnsi="Times New Roman;serif"/>
                  <w:b w:val="false"/>
                  <w:color w:val="0000FF"/>
                  <w:sz w:val="20"/>
                  <w:u w:val="single"/>
                </w:rPr>
                <w:t>6</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31">
              <w:r>
                <w:rPr>
                  <w:rStyle w:val="InternetLink"/>
                  <w:rFonts w:ascii="Times New Roman;serif" w:hAnsi="Times New Roman;serif"/>
                  <w:b w:val="false"/>
                  <w:color w:val="000080"/>
                  <w:sz w:val="20"/>
                  <w:u w:val="single"/>
                </w:rPr>
                <w:t xml:space="preserve">UNAUDITED CONDENSED CONSOLIDATED STATEMENTS OF STOCKHOLDERS' EQUITY FOR THE THREE </w:t>
              </w:r>
            </w:hyperlink>
            <w:hyperlink w:anchor="iea03b4e765da4f70803c4c4172d6bc86_31">
              <w:r>
                <w:rPr>
                  <w:rStyle w:val="InternetLink"/>
                  <w:rFonts w:ascii="Times New Roman;serif" w:hAnsi="Times New Roman;serif"/>
                  <w:b w:val="false"/>
                  <w:color w:val="000080"/>
                  <w:sz w:val="20"/>
                  <w:u w:val="single"/>
                </w:rPr>
                <w:t xml:space="preserve">AND SIX </w:t>
              </w:r>
            </w:hyperlink>
            <w:hyperlink w:anchor="iea03b4e765da4f70803c4c4172d6bc86_31">
              <w:r>
                <w:rPr>
                  <w:rStyle w:val="InternetLink"/>
                  <w:rFonts w:ascii="Times New Roman;serif" w:hAnsi="Times New Roman;serif"/>
                  <w:b w:val="false"/>
                  <w:color w:val="000080"/>
                  <w:sz w:val="20"/>
                  <w:u w:val="single"/>
                </w:rPr>
                <w:t xml:space="preserve">MONTHS ENDED </w:t>
              </w:r>
            </w:hyperlink>
            <w:hyperlink w:anchor="iea03b4e765da4f70803c4c4172d6bc86_31">
              <w:r>
                <w:rPr>
                  <w:rStyle w:val="InternetLink"/>
                  <w:rFonts w:ascii="Times New Roman;serif" w:hAnsi="Times New Roman;serif"/>
                  <w:b w:val="false"/>
                  <w:color w:val="000080"/>
                  <w:sz w:val="20"/>
                  <w:u w:val="single"/>
                </w:rPr>
                <w:t>JUNE 30</w:t>
              </w:r>
            </w:hyperlink>
            <w:hyperlink w:anchor="iea03b4e765da4f70803c4c4172d6bc86_31">
              <w:r>
                <w:rPr>
                  <w:rStyle w:val="InternetLink"/>
                  <w:rFonts w:ascii="Times New Roman;serif" w:hAnsi="Times New Roman;serif"/>
                  <w:b w:val="false"/>
                  <w:color w:val="000080"/>
                  <w:sz w:val="20"/>
                  <w:u w:val="single"/>
                </w:rPr>
                <w:t>, 2026, AND 2025</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31">
              <w:r>
                <w:rPr>
                  <w:rStyle w:val="InternetLink"/>
                  <w:rFonts w:ascii="Times New Roman;serif" w:hAnsi="Times New Roman;serif"/>
                  <w:b w:val="false"/>
                  <w:color w:val="0000FF"/>
                  <w:sz w:val="20"/>
                  <w:u w:val="single"/>
                </w:rPr>
                <w:t>7</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34">
              <w:r>
                <w:rPr>
                  <w:rStyle w:val="InternetLink"/>
                  <w:rFonts w:ascii="Times New Roman;serif" w:hAnsi="Times New Roman;serif"/>
                  <w:b w:val="false"/>
                  <w:color w:val="000080"/>
                  <w:sz w:val="20"/>
                  <w:u w:val="single"/>
                </w:rPr>
                <w:t xml:space="preserve">UNAUDITED CONDENSED CONSOLIDATED STATEMENTS OF CASH FLOWS FOR THE </w:t>
              </w:r>
            </w:hyperlink>
            <w:hyperlink w:anchor="iea03b4e765da4f70803c4c4172d6bc86_34">
              <w:r>
                <w:rPr>
                  <w:rStyle w:val="InternetLink"/>
                  <w:rFonts w:ascii="Times New Roman;serif" w:hAnsi="Times New Roman;serif"/>
                  <w:b w:val="false"/>
                  <w:color w:val="000080"/>
                  <w:sz w:val="20"/>
                  <w:u w:val="single"/>
                </w:rPr>
                <w:t>SIX</w:t>
              </w:r>
            </w:hyperlink>
            <w:hyperlink w:anchor="iea03b4e765da4f70803c4c4172d6bc86_34">
              <w:r>
                <w:rPr>
                  <w:rStyle w:val="InternetLink"/>
                  <w:rFonts w:ascii="Times New Roman;serif" w:hAnsi="Times New Roman;serif"/>
                  <w:b w:val="false"/>
                  <w:color w:val="000080"/>
                  <w:sz w:val="20"/>
                  <w:u w:val="single"/>
                </w:rPr>
                <w:t xml:space="preserve"> MONTHS ENDED </w:t>
              </w:r>
            </w:hyperlink>
            <w:hyperlink w:anchor="iea03b4e765da4f70803c4c4172d6bc86_34">
              <w:r>
                <w:rPr>
                  <w:rStyle w:val="InternetLink"/>
                  <w:rFonts w:ascii="Times New Roman;serif" w:hAnsi="Times New Roman;serif"/>
                  <w:b w:val="false"/>
                  <w:color w:val="000080"/>
                  <w:sz w:val="20"/>
                  <w:u w:val="single"/>
                </w:rPr>
                <w:t>JUNE 30</w:t>
              </w:r>
            </w:hyperlink>
            <w:hyperlink w:anchor="iea03b4e765da4f70803c4c4172d6bc86_34">
              <w:r>
                <w:rPr>
                  <w:rStyle w:val="InternetLink"/>
                  <w:rFonts w:ascii="Times New Roman;serif" w:hAnsi="Times New Roman;serif"/>
                  <w:b w:val="false"/>
                  <w:color w:val="000080"/>
                  <w:sz w:val="20"/>
                  <w:u w:val="single"/>
                </w:rPr>
                <w:t>, 2026, AND 2025</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34">
              <w:r>
                <w:rPr>
                  <w:rStyle w:val="InternetLink"/>
                  <w:rFonts w:ascii="Times New Roman;serif" w:hAnsi="Times New Roman;serif"/>
                  <w:b w:val="false"/>
                  <w:color w:val="0000FF"/>
                  <w:sz w:val="20"/>
                  <w:u w:val="single"/>
                </w:rPr>
                <w:t>9</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37">
              <w:r>
                <w:rPr>
                  <w:rStyle w:val="InternetLink"/>
                  <w:rFonts w:ascii="Times New Roman;serif" w:hAnsi="Times New Roman;serif"/>
                  <w:b w:val="false"/>
                  <w:color w:val="0000FF"/>
                  <w:sz w:val="20"/>
                  <w:u w:val="single"/>
                </w:rPr>
                <w:t>NOTES TO UNAUDITED CONDENSED CONSOLIDATED FINANCIAL STATEMENTS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37">
              <w:r>
                <w:rPr>
                  <w:rStyle w:val="InternetLink"/>
                  <w:rFonts w:ascii="Times New Roman;serif" w:hAnsi="Times New Roman;serif"/>
                  <w:b w:val="false"/>
                  <w:color w:val="0000FF"/>
                  <w:sz w:val="20"/>
                  <w:u w:val="single"/>
                </w:rPr>
                <w:t>10</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88">
              <w:r>
                <w:rPr>
                  <w:rStyle w:val="InternetLink"/>
                  <w:rFonts w:ascii="Times New Roman;serif" w:hAnsi="Times New Roman;serif"/>
                  <w:b w:val="false"/>
                  <w:color w:val="0000FF"/>
                  <w:sz w:val="20"/>
                  <w:u w:val="single"/>
                </w:rPr>
                <w:t>ITEM 2.</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88">
              <w:r>
                <w:rPr>
                  <w:rStyle w:val="InternetLink"/>
                  <w:rFonts w:ascii="Times New Roman;serif" w:hAnsi="Times New Roman;serif"/>
                  <w:b w:val="false"/>
                  <w:color w:val="0000FF"/>
                  <w:sz w:val="20"/>
                  <w:u w:val="single"/>
                </w:rPr>
                <w:t>30</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12">
              <w:r>
                <w:rPr>
                  <w:rStyle w:val="InternetLink"/>
                  <w:rFonts w:ascii="Times New Roman;serif" w:hAnsi="Times New Roman;serif"/>
                  <w:b w:val="false"/>
                  <w:color w:val="0000FF"/>
                  <w:sz w:val="20"/>
                  <w:u w:val="single"/>
                </w:rPr>
                <w:t>ITEM 3.</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12">
              <w:r>
                <w:rPr>
                  <w:rStyle w:val="InternetLink"/>
                  <w:rFonts w:ascii="Times New Roman;serif" w:hAnsi="Times New Roman;serif"/>
                  <w:b w:val="false"/>
                  <w:color w:val="0000FF"/>
                  <w:sz w:val="20"/>
                  <w:u w:val="single"/>
                </w:rPr>
                <w:t>QUANTITATIVE AND QUALITATIVE DISCLOSURES ABOUT MARKET RISK</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12">
              <w:r>
                <w:rPr>
                  <w:rStyle w:val="InternetLink"/>
                  <w:rFonts w:ascii="Times New Roman;serif" w:hAnsi="Times New Roman;serif"/>
                  <w:b w:val="false"/>
                  <w:color w:val="0000FF"/>
                  <w:sz w:val="20"/>
                  <w:u w:val="single"/>
                </w:rPr>
                <w:t>42</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15">
              <w:r>
                <w:rPr>
                  <w:rStyle w:val="InternetLink"/>
                  <w:rFonts w:ascii="Times New Roman;serif" w:hAnsi="Times New Roman;serif"/>
                  <w:b w:val="false"/>
                  <w:color w:val="0000FF"/>
                  <w:sz w:val="20"/>
                  <w:u w:val="single"/>
                </w:rPr>
                <w:t>ITEM 4.</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15">
              <w:r>
                <w:rPr>
                  <w:rStyle w:val="InternetLink"/>
                  <w:rFonts w:ascii="Times New Roman;serif" w:hAnsi="Times New Roman;serif"/>
                  <w:b w:val="false"/>
                  <w:color w:val="0000FF"/>
                  <w:sz w:val="20"/>
                  <w:u w:val="single"/>
                </w:rPr>
                <w:t>CONTROLS AND PROCEDURES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15">
              <w:r>
                <w:rPr>
                  <w:rStyle w:val="InternetLink"/>
                  <w:rFonts w:ascii="Times New Roman;serif" w:hAnsi="Times New Roman;serif"/>
                  <w:b w:val="false"/>
                  <w:color w:val="0000FF"/>
                  <w:sz w:val="20"/>
                  <w:u w:val="single"/>
                </w:rPr>
                <w:t>42</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18">
              <w:r>
                <w:rPr>
                  <w:rStyle w:val="InternetLink"/>
                  <w:rFonts w:ascii="Times New Roman;serif" w:hAnsi="Times New Roman;serif"/>
                  <w:b/>
                  <w:color w:val="0000FF"/>
                  <w:sz w:val="20"/>
                  <w:u w:val="single"/>
                </w:rPr>
                <w:t>PART II — OTHER INFORMATION</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21">
              <w:r>
                <w:rPr>
                  <w:rStyle w:val="InternetLink"/>
                  <w:rFonts w:ascii="Times New Roman;serif" w:hAnsi="Times New Roman;serif"/>
                  <w:b w:val="false"/>
                  <w:color w:val="0000FF"/>
                  <w:sz w:val="20"/>
                  <w:u w:val="single"/>
                </w:rPr>
                <w:t>ITEM 1.</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21">
              <w:r>
                <w:rPr>
                  <w:rStyle w:val="InternetLink"/>
                  <w:rFonts w:ascii="Times New Roman;serif" w:hAnsi="Times New Roman;serif"/>
                  <w:b w:val="false"/>
                  <w:color w:val="0000FF"/>
                  <w:sz w:val="20"/>
                  <w:u w:val="single"/>
                </w:rPr>
                <w:t>LEGAL PROCEEDINGS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21">
              <w:r>
                <w:rPr>
                  <w:rStyle w:val="InternetLink"/>
                  <w:rFonts w:ascii="Times New Roman;serif" w:hAnsi="Times New Roman;serif"/>
                  <w:b w:val="false"/>
                  <w:color w:val="0000FF"/>
                  <w:sz w:val="20"/>
                  <w:u w:val="single"/>
                </w:rPr>
                <w:t>43</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24">
              <w:r>
                <w:rPr>
                  <w:rStyle w:val="InternetLink"/>
                  <w:rFonts w:ascii="Times New Roman;serif" w:hAnsi="Times New Roman;serif"/>
                  <w:b w:val="false"/>
                  <w:color w:val="0000FF"/>
                  <w:sz w:val="20"/>
                  <w:u w:val="single"/>
                </w:rPr>
                <w:t>ITEM 1A.</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24">
              <w:r>
                <w:rPr>
                  <w:rStyle w:val="InternetLink"/>
                  <w:rFonts w:ascii="Times New Roman;serif" w:hAnsi="Times New Roman;serif"/>
                  <w:b w:val="false"/>
                  <w:color w:val="0000FF"/>
                  <w:sz w:val="20"/>
                  <w:u w:val="single"/>
                </w:rPr>
                <w:t>RISK FACTORS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24">
              <w:r>
                <w:rPr>
                  <w:rStyle w:val="InternetLink"/>
                  <w:rFonts w:ascii="Times New Roman;serif" w:hAnsi="Times New Roman;serif"/>
                  <w:b w:val="false"/>
                  <w:color w:val="0000FF"/>
                  <w:sz w:val="20"/>
                  <w:u w:val="single"/>
                </w:rPr>
                <w:t>43</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27">
              <w:r>
                <w:rPr>
                  <w:rStyle w:val="InternetLink"/>
                  <w:rFonts w:ascii="Times New Roman;serif" w:hAnsi="Times New Roman;serif"/>
                  <w:b w:val="false"/>
                  <w:color w:val="0000FF"/>
                  <w:sz w:val="20"/>
                  <w:u w:val="single"/>
                </w:rPr>
                <w:t>ITEM 2.</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27">
              <w:r>
                <w:rPr>
                  <w:rStyle w:val="InternetLink"/>
                  <w:rFonts w:ascii="Times New Roman;serif" w:hAnsi="Times New Roman;serif"/>
                  <w:b w:val="false"/>
                  <w:color w:val="0000FF"/>
                  <w:sz w:val="20"/>
                  <w:u w:val="single"/>
                </w:rPr>
                <w:t>UNREGISTERED SALES OF EQUITY SECURITIES AND USE OF PROCEEDS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27">
              <w:r>
                <w:rPr>
                  <w:rStyle w:val="InternetLink"/>
                  <w:rFonts w:ascii="Times New Roman;serif" w:hAnsi="Times New Roman;serif"/>
                  <w:b w:val="false"/>
                  <w:color w:val="0000FF"/>
                  <w:sz w:val="20"/>
                  <w:u w:val="single"/>
                </w:rPr>
                <w:t>43</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30">
              <w:r>
                <w:rPr>
                  <w:rStyle w:val="InternetLink"/>
                  <w:rFonts w:ascii="Times New Roman;serif" w:hAnsi="Times New Roman;serif"/>
                  <w:b w:val="false"/>
                  <w:color w:val="0000FF"/>
                  <w:sz w:val="20"/>
                  <w:u w:val="single"/>
                </w:rPr>
                <w:t>ITEM 3.</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30">
              <w:r>
                <w:rPr>
                  <w:rStyle w:val="InternetLink"/>
                  <w:rFonts w:ascii="Times New Roman;serif" w:hAnsi="Times New Roman;serif"/>
                  <w:b w:val="false"/>
                  <w:color w:val="0000FF"/>
                  <w:sz w:val="20"/>
                  <w:u w:val="single"/>
                </w:rPr>
                <w:t>DEFAULTS UPON SENIOR SECURITIES</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30">
              <w:r>
                <w:rPr>
                  <w:rStyle w:val="InternetLink"/>
                  <w:rFonts w:ascii="Times New Roman;serif" w:hAnsi="Times New Roman;serif"/>
                  <w:b w:val="false"/>
                  <w:color w:val="0000FF"/>
                  <w:sz w:val="20"/>
                  <w:u w:val="single"/>
                </w:rPr>
                <w:t>43</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33">
              <w:r>
                <w:rPr>
                  <w:rStyle w:val="InternetLink"/>
                  <w:rFonts w:ascii="Times New Roman;serif" w:hAnsi="Times New Roman;serif"/>
                  <w:b w:val="false"/>
                  <w:color w:val="0000FF"/>
                  <w:sz w:val="20"/>
                  <w:u w:val="single"/>
                </w:rPr>
                <w:t>ITEM 4.</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33">
              <w:r>
                <w:rPr>
                  <w:rStyle w:val="InternetLink"/>
                  <w:rFonts w:ascii="Times New Roman;serif" w:hAnsi="Times New Roman;serif"/>
                  <w:b w:val="false"/>
                  <w:color w:val="0000FF"/>
                  <w:sz w:val="20"/>
                  <w:u w:val="single"/>
                </w:rPr>
                <w:t>MINE SAFETY DISCLOSURES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33">
              <w:r>
                <w:rPr>
                  <w:rStyle w:val="InternetLink"/>
                  <w:rFonts w:ascii="Times New Roman;serif" w:hAnsi="Times New Roman;serif"/>
                  <w:b w:val="false"/>
                  <w:color w:val="0000FF"/>
                  <w:sz w:val="20"/>
                  <w:u w:val="single"/>
                </w:rPr>
                <w:t>43</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36">
              <w:r>
                <w:rPr>
                  <w:rStyle w:val="InternetLink"/>
                  <w:rFonts w:ascii="Times New Roman;serif" w:hAnsi="Times New Roman;serif"/>
                  <w:b w:val="false"/>
                  <w:color w:val="0000FF"/>
                  <w:sz w:val="20"/>
                  <w:u w:val="single"/>
                </w:rPr>
                <w:t>ITEM 5.</w:t>
              </w:r>
            </w:hyperlink>
          </w:p>
        </w:tc>
        <w:tc>
          <w:tcPr>
            <w:tcW w:w="8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36">
              <w:r>
                <w:rPr>
                  <w:rStyle w:val="InternetLink"/>
                  <w:rFonts w:ascii="Times New Roman;serif" w:hAnsi="Times New Roman;serif"/>
                  <w:b w:val="false"/>
                  <w:color w:val="0000FF"/>
                  <w:sz w:val="20"/>
                  <w:u w:val="single"/>
                </w:rPr>
                <w:t>OTHER INFORMATION</w:t>
              </w:r>
            </w:hyperlink>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36">
              <w:r>
                <w:rPr>
                  <w:rStyle w:val="InternetLink"/>
                  <w:rFonts w:ascii="Times New Roman;serif" w:hAnsi="Times New Roman;serif"/>
                  <w:b w:val="false"/>
                  <w:color w:val="0000FF"/>
                  <w:sz w:val="20"/>
                  <w:u w:val="single"/>
                </w:rPr>
                <w:t>43</w:t>
              </w:r>
            </w:hyperlink>
          </w:p>
        </w:tc>
      </w:tr>
      <w:tr>
        <w:trPr/>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42">
              <w:r>
                <w:rPr>
                  <w:rStyle w:val="InternetLink"/>
                  <w:rFonts w:ascii="Times New Roman;serif" w:hAnsi="Times New Roman;serif"/>
                  <w:b w:val="false"/>
                  <w:color w:val="0000FF"/>
                  <w:sz w:val="20"/>
                  <w:u w:val="single"/>
                </w:rPr>
                <w:t>ITEM 6.</w:t>
              </w:r>
            </w:hyperlink>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42">
              <w:r>
                <w:rPr>
                  <w:rStyle w:val="InternetLink"/>
                  <w:rFonts w:ascii="Times New Roman;serif" w:hAnsi="Times New Roman;serif"/>
                  <w:b w:val="false"/>
                  <w:color w:val="0000FF"/>
                  <w:sz w:val="20"/>
                  <w:u w:val="single"/>
                </w:rPr>
                <w:t>EXHIBITS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42">
              <w:r>
                <w:rPr>
                  <w:rStyle w:val="InternetLink"/>
                  <w:rFonts w:ascii="Times New Roman;serif" w:hAnsi="Times New Roman;serif"/>
                  <w:b w:val="false"/>
                  <w:color w:val="0000FF"/>
                  <w:sz w:val="20"/>
                  <w:u w:val="single"/>
                </w:rPr>
                <w:t>44</w:t>
              </w:r>
            </w:hyperlink>
          </w:p>
        </w:tc>
      </w:tr>
      <w:tr>
        <w:trPr/>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03b4e765da4f70803c4c4172d6bc86_145">
              <w:r>
                <w:rPr>
                  <w:rStyle w:val="InternetLink"/>
                  <w:rFonts w:ascii="Times New Roman;serif" w:hAnsi="Times New Roman;serif"/>
                  <w:b w:val="false"/>
                  <w:color w:val="0000FF"/>
                  <w:sz w:val="20"/>
                  <w:u w:val="single"/>
                </w:rPr>
                <w:t>SIGNATURES</w:t>
              </w:r>
            </w:hyperlink>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a03b4e765da4f70803c4c4172d6bc86_145">
              <w:r>
                <w:rPr>
                  <w:rStyle w:val="InternetLink"/>
                  <w:rFonts w:ascii="Times New Roman;serif" w:hAnsi="Times New Roman;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jc w:val="both"/>
        <w:rPr/>
      </w:pPr>
      <w:r>
        <w:rPr>
          <w:rFonts w:ascii="Times New Roman;serif" w:hAnsi="Times New Roman;serif"/>
          <w:b w:val="false"/>
          <w:i/>
          <w:color w:val="000000"/>
          <w:sz w:val="20"/>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outcomes of the events described in these forward-looking statements are subject to risks, uncertainties and other factors described in “Risk Factors” of our Annual Report on Form 10-K for the fiscal year ended December 31, 2025, filed with the SEC on March 9, 2026 (the “Annual Report on Form 10-K”), as supplemented in our Quarterly Report on Form 10-Q for the quarter ended March 31, 2026, filed with the SEC on May 6, 2026 (the “Q1 2026 Form 10-Q”), and</w:t>
      </w:r>
      <w:r>
        <w:rPr>
          <w:color w:val="000000"/>
          <w:shd w:fill="FFFFFF" w:val="clear"/>
        </w:rPr>
        <w:t xml:space="preserve"> </w:t>
      </w:r>
      <w:r>
        <w:rPr>
          <w:rFonts w:ascii="Times New Roman;serif" w:hAnsi="Times New Roman;serif"/>
          <w:b w:val="false"/>
          <w:i/>
          <w:color w:val="000000"/>
          <w:sz w:val="20"/>
          <w:shd w:fill="FFFFFF" w:val="clear"/>
        </w:rPr>
        <w:t>elsewhere in this report. Accordingly, you should not plac</w:t>
      </w:r>
      <w:r>
        <w:rPr>
          <w:rFonts w:ascii="Times New Roman;serif" w:hAnsi="Times New Roman;serif"/>
          <w:b w:val="false"/>
          <w:i/>
          <w:color w:val="000000"/>
          <w:sz w:val="20"/>
        </w:rPr>
        <w:t>e undue reliance upon these forward-looking statements. We cannot assure you that the events and circumstances reflected in the forward-looking statements will be achieved or occur, and the timing of events and circumstances and actual results could differ materially from those anticipated in the forward-looking statements. Forward-looking statements contained in this report include, but are not limited to, statements about:</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ability to commercialize and the timing of commercializing our products and product candidates, if approved;</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potential therapeutic benefits and effectiveness of our products and product candidates;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progress of, timing of and expected amount of expenses associated with our commercialization, research, and development activities;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size and characteristics of the markets that may be addressed by our products and product candidates;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expected timing of clinical trials for our product candidates and the availability of data and results of those trials;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progress of, outcome of and timing of any regulatory approval for any of our product candidates;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expectations regarding federal, state and foreign tax, legal and regulatory requirements;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intention to seek to establish, and the potential benefits to us from, any strategic collaborations or partnerships for the development or sale of our products and product candidates;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expectations as to future financial performance, expense levels and liquidity sources;</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the sufficiency of our cash resources to fund our operating expenses and capital investment requirements for any period;</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our ability to raise additional funds if needed on commercially reasonable terms, or at all, in order to support our continued operations; and</w:t>
      </w:r>
    </w:p>
    <w:p>
      <w:pPr>
        <w:pStyle w:val="TextBody"/>
        <w:bidi w:val="0"/>
        <w:spacing w:lineRule="auto" w:line="288" w:before="0" w:after="160"/>
        <w:ind w:left="0" w:right="0" w:hanging="576"/>
        <w:jc w:val="both"/>
        <w:rPr/>
      </w:pPr>
      <w:r>
        <w:rPr>
          <w:color w:val="000000"/>
        </w:rPr>
        <w:t>•</w:t>
      </w:r>
      <w:r>
        <w:rPr>
          <w:rFonts w:ascii="Times New Roman;serif" w:hAnsi="Times New Roman;serif"/>
          <w:b w:val="false"/>
          <w:i/>
          <w:color w:val="000000"/>
          <w:sz w:val="20"/>
        </w:rPr>
        <w:t>other factors discussed elsewhere in this report.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as supplemented in the Q1 2026 Form 10-Q, that we believe could cause actual results or events to differ materially from the forward-looking statements that we make. Our forward-looking statements do not reflect the potential impact of any future developments, including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NOTE REGARDING COMPANY REFERENCE</w:t>
      </w:r>
    </w:p>
    <w:p>
      <w:pPr>
        <w:pStyle w:val="TextBody"/>
        <w:bidi w:val="0"/>
        <w:spacing w:lineRule="auto" w:line="288" w:before="0" w:after="240"/>
        <w:jc w:val="both"/>
        <w:rPr/>
      </w:pPr>
      <w:r>
        <w:rPr>
          <w:rFonts w:ascii="Times New Roman;serif" w:hAnsi="Times New Roman;serif"/>
          <w:b w:val="false"/>
          <w:i/>
          <w:color w:val="000000"/>
          <w:sz w:val="20"/>
        </w:rPr>
        <w:t>Unless the context otherwise requires, we use the terms “Zevra,” “Company,” “we,” “us” and “our” in this Quarterly Report on Form 10-Q to refer to Zevra Therapeutics, Inc. and its subsidiaries. We have proprietary rights to a number of trademarks and service marks used in this Quarterly Repo</w:t>
      </w:r>
      <w:r>
        <w:rPr>
          <w:rFonts w:ascii="Times New Roman;serif" w:hAnsi="Times New Roman;serif"/>
          <w:b w:val="false"/>
          <w:i/>
          <w:color w:val="000000"/>
          <w:sz w:val="20"/>
          <w:shd w:fill="FFFFFF" w:val="clear"/>
        </w:rPr>
        <w:t>rt on Form 10-Q that are important to our business, including MIPLYFFA</w:t>
      </w:r>
      <w:r>
        <w:rPr>
          <w:rFonts w:ascii="Times New Roman;serif" w:hAnsi="Times New Roman;serif"/>
          <w:b w:val="false"/>
          <w:i/>
          <w:color w:val="000000"/>
          <w:sz w:val="13"/>
          <w:shd w:fill="FFFFFF" w:val="clear"/>
        </w:rPr>
        <w:t>®</w:t>
      </w:r>
      <w:r>
        <w:rPr>
          <w:color w:val="000000"/>
          <w:shd w:fill="FFFFFF" w:val="clear"/>
        </w:rPr>
        <w:t xml:space="preserve"> </w:t>
      </w:r>
      <w:r>
        <w:rPr>
          <w:rFonts w:ascii="Times New Roman;serif" w:hAnsi="Times New Roman;serif"/>
          <w:b w:val="false"/>
          <w:i/>
          <w:color w:val="000000"/>
          <w:sz w:val="20"/>
          <w:shd w:fill="FFFFFF" w:val="clear"/>
        </w:rPr>
        <w:t>and its related logo, OLPRUVA</w:t>
      </w:r>
      <w:r>
        <w:rPr>
          <w:rFonts w:ascii="Times New Roman;serif" w:hAnsi="Times New Roman;serif"/>
          <w:b w:val="false"/>
          <w:i/>
          <w:color w:val="000000"/>
          <w:sz w:val="13"/>
          <w:shd w:fill="FFFFFF" w:val="clear"/>
        </w:rPr>
        <w:t>®</w:t>
      </w:r>
      <w:r>
        <w:rPr>
          <w:color w:val="000000"/>
          <w:shd w:fill="FFFFFF" w:val="clear"/>
        </w:rPr>
        <w:t xml:space="preserve"> </w:t>
      </w:r>
      <w:r>
        <w:rPr>
          <w:rFonts w:ascii="Times New Roman;serif" w:hAnsi="Times New Roman;serif"/>
          <w:b w:val="false"/>
          <w:i/>
          <w:color w:val="000000"/>
          <w:sz w:val="20"/>
          <w:shd w:fill="FFFFFF" w:val="clear"/>
        </w:rPr>
        <w:t>and its related logo, LAT</w:t>
      </w:r>
      <w:r>
        <w:rPr>
          <w:rFonts w:ascii="Times New Roman;serif" w:hAnsi="Times New Roman;serif"/>
          <w:b w:val="false"/>
          <w:i/>
          <w:color w:val="000000"/>
          <w:sz w:val="13"/>
          <w:shd w:fill="FFFFFF" w:val="clear"/>
        </w:rPr>
        <w:t>®</w:t>
      </w:r>
      <w:r>
        <w:rPr>
          <w:rFonts w:ascii="Times New Roman;serif" w:hAnsi="Times New Roman;serif"/>
          <w:b w:val="false"/>
          <w:i/>
          <w:color w:val="000000"/>
          <w:sz w:val="20"/>
        </w:rPr>
        <w:t>, and the Zevra companies' logos. In addition, Zevra Therapeutics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Zevra</w:t>
      </w:r>
      <w:r>
        <w:rPr>
          <w:rFonts w:ascii="Times New Roman;serif" w:hAnsi="Times New Roman;serif"/>
          <w:b w:val="false"/>
          <w:i/>
          <w:color w:val="000000"/>
          <w:sz w:val="13"/>
        </w:rPr>
        <w:t xml:space="preserve">® </w:t>
      </w:r>
      <w:r>
        <w:rPr>
          <w:rFonts w:ascii="Times New Roman;serif" w:hAnsi="Times New Roman;serif"/>
          <w:b w:val="false"/>
          <w:i/>
          <w:color w:val="000000"/>
          <w:sz w:val="20"/>
        </w:rPr>
        <w:t xml:space="preserve">are both registered trademarks of the Company.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and ™ symbols, but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98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730"/>
        <w:gridCol w:w="2189"/>
        <w:gridCol w:w="2166"/>
        <w:gridCol w:w="109"/>
        <w:gridCol w:w="109"/>
        <w:gridCol w:w="109"/>
        <w:gridCol w:w="196"/>
        <w:gridCol w:w="736"/>
        <w:gridCol w:w="109"/>
        <w:gridCol w:w="109"/>
        <w:gridCol w:w="109"/>
        <w:gridCol w:w="109"/>
        <w:gridCol w:w="196"/>
        <w:gridCol w:w="736"/>
        <w:gridCol w:w="493"/>
      </w:tblGrid>
      <w:tr>
        <w:trPr/>
        <w:tc>
          <w:tcPr>
            <w:tcW w:w="273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62,406 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128,605 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23,258 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223,007 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47,879 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284,731 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discount and rebate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39,277 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61,928 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9,575 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and rebate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130,074 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Undesignated preferred stock, $0.0001 par value, 10,000,000 shares authorized, no shares issued or outstanding as of June 30, 2026, or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250,000,000 shares authorized; 60,917,598 shares issued and 59,341,906 shares outstanding as of June 30, 2026; 58,338,319 shares issued and 56,854,781 shares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588,458 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(10,983)</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(422,060)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154,657 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302,712 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284,731 </w:t>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30"/>
        <w:gridCol w:w="1261"/>
        <w:gridCol w:w="1240"/>
        <w:gridCol w:w="109"/>
        <w:gridCol w:w="109"/>
        <w:gridCol w:w="109"/>
        <w:gridCol w:w="212"/>
        <w:gridCol w:w="726"/>
        <w:gridCol w:w="109"/>
        <w:gridCol w:w="109"/>
        <w:gridCol w:w="109"/>
        <w:gridCol w:w="109"/>
        <w:gridCol w:w="212"/>
        <w:gridCol w:w="726"/>
        <w:gridCol w:w="109"/>
        <w:gridCol w:w="109"/>
        <w:gridCol w:w="109"/>
        <w:gridCol w:w="109"/>
        <w:gridCol w:w="211"/>
        <w:gridCol w:w="721"/>
        <w:gridCol w:w="109"/>
        <w:gridCol w:w="109"/>
        <w:gridCol w:w="109"/>
        <w:gridCol w:w="109"/>
        <w:gridCol w:w="211"/>
        <w:gridCol w:w="721"/>
        <w:gridCol w:w="499"/>
      </w:tblGrid>
      <w:tr>
        <w:trPr/>
        <w:tc>
          <w:tcPr>
            <w:tcW w:w="183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$316 and $1,616 in intangible asset amortization for the three months ended June 30, 2026, and 2025, respectively, and $632 and $3,231 in intangible asset amortization for the six months ended June 30, 2026, and 2025,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(13,724)</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future royalties, intellectual property, and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(40,327)</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(47,018)</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(76,401)</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151,390 </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74,989 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9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59,155,970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54,780,938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58,783,034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54,440,100</w:t>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61,336,617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56,324,903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60,785,625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56,062,443</w:t>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527"/>
        <w:gridCol w:w="1333"/>
        <w:gridCol w:w="1347"/>
        <w:gridCol w:w="109"/>
        <w:gridCol w:w="109"/>
        <w:gridCol w:w="109"/>
        <w:gridCol w:w="233"/>
        <w:gridCol w:w="683"/>
        <w:gridCol w:w="120"/>
        <w:gridCol w:w="120"/>
        <w:gridCol w:w="120"/>
        <w:gridCol w:w="120"/>
        <w:gridCol w:w="233"/>
        <w:gridCol w:w="799"/>
        <w:gridCol w:w="120"/>
        <w:gridCol w:w="109"/>
        <w:gridCol w:w="109"/>
        <w:gridCol w:w="109"/>
        <w:gridCol w:w="211"/>
        <w:gridCol w:w="721"/>
        <w:gridCol w:w="109"/>
        <w:gridCol w:w="109"/>
        <w:gridCol w:w="109"/>
        <w:gridCol w:w="109"/>
        <w:gridCol w:w="211"/>
        <w:gridCol w:w="721"/>
        <w:gridCol w:w="496"/>
      </w:tblGrid>
      <w:tr>
        <w:trPr/>
        <w:tc>
          <w:tcPr>
            <w:tcW w:w="152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72,361 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68,549 </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89" w:type="dxa"/>
        <w:jc w:val="left"/>
        <w:tblInd w:w="0" w:type="dxa"/>
        <w:tblLayout w:type="fixed"/>
        <w:tblCellMar>
          <w:top w:w="28" w:type="dxa"/>
          <w:left w:w="28" w:type="dxa"/>
          <w:bottom w:w="28" w:type="dxa"/>
          <w:right w:w="28" w:type="dxa"/>
        </w:tblCellMar>
      </w:tblPr>
      <w:tblGrid>
        <w:gridCol w:w="853"/>
        <w:gridCol w:w="248"/>
        <w:gridCol w:w="250"/>
        <w:gridCol w:w="109"/>
        <w:gridCol w:w="109"/>
        <w:gridCol w:w="109"/>
        <w:gridCol w:w="324"/>
        <w:gridCol w:w="393"/>
        <w:gridCol w:w="169"/>
        <w:gridCol w:w="109"/>
        <w:gridCol w:w="109"/>
        <w:gridCol w:w="109"/>
        <w:gridCol w:w="211"/>
        <w:gridCol w:w="826"/>
        <w:gridCol w:w="109"/>
        <w:gridCol w:w="109"/>
        <w:gridCol w:w="109"/>
        <w:gridCol w:w="109"/>
        <w:gridCol w:w="211"/>
        <w:gridCol w:w="736"/>
        <w:gridCol w:w="109"/>
        <w:gridCol w:w="109"/>
        <w:gridCol w:w="109"/>
        <w:gridCol w:w="109"/>
        <w:gridCol w:w="211"/>
        <w:gridCol w:w="896"/>
        <w:gridCol w:w="109"/>
        <w:gridCol w:w="109"/>
        <w:gridCol w:w="109"/>
        <w:gridCol w:w="109"/>
        <w:gridCol w:w="316"/>
        <w:gridCol w:w="946"/>
        <w:gridCol w:w="164"/>
        <w:gridCol w:w="109"/>
        <w:gridCol w:w="109"/>
        <w:gridCol w:w="109"/>
        <w:gridCol w:w="220"/>
        <w:gridCol w:w="864"/>
        <w:gridCol w:w="162"/>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Stockholders'</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154,657 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37,890 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stock warrants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205,804 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as part of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606,264 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(375,418)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217,652 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89" w:type="dxa"/>
        <w:jc w:val="left"/>
        <w:tblInd w:w="0" w:type="dxa"/>
        <w:tblLayout w:type="fixed"/>
        <w:tblCellMar>
          <w:top w:w="28" w:type="dxa"/>
          <w:left w:w="28" w:type="dxa"/>
          <w:bottom w:w="28" w:type="dxa"/>
          <w:right w:w="28" w:type="dxa"/>
        </w:tblCellMar>
      </w:tblPr>
      <w:tblGrid>
        <w:gridCol w:w="853"/>
        <w:gridCol w:w="248"/>
        <w:gridCol w:w="250"/>
        <w:gridCol w:w="109"/>
        <w:gridCol w:w="109"/>
        <w:gridCol w:w="109"/>
        <w:gridCol w:w="324"/>
        <w:gridCol w:w="393"/>
        <w:gridCol w:w="169"/>
        <w:gridCol w:w="109"/>
        <w:gridCol w:w="109"/>
        <w:gridCol w:w="109"/>
        <w:gridCol w:w="211"/>
        <w:gridCol w:w="826"/>
        <w:gridCol w:w="109"/>
        <w:gridCol w:w="109"/>
        <w:gridCol w:w="109"/>
        <w:gridCol w:w="109"/>
        <w:gridCol w:w="211"/>
        <w:gridCol w:w="736"/>
        <w:gridCol w:w="109"/>
        <w:gridCol w:w="109"/>
        <w:gridCol w:w="109"/>
        <w:gridCol w:w="109"/>
        <w:gridCol w:w="211"/>
        <w:gridCol w:w="896"/>
        <w:gridCol w:w="109"/>
        <w:gridCol w:w="109"/>
        <w:gridCol w:w="109"/>
        <w:gridCol w:w="109"/>
        <w:gridCol w:w="316"/>
        <w:gridCol w:w="946"/>
        <w:gridCol w:w="164"/>
        <w:gridCol w:w="109"/>
        <w:gridCol w:w="109"/>
        <w:gridCol w:w="109"/>
        <w:gridCol w:w="220"/>
        <w:gridCol w:w="864"/>
        <w:gridCol w:w="162"/>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Stockholders'</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(505,289)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exchange for consulting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(508,388)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as part of the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117,230 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9313" w:type="dxa"/>
        <w:jc w:val="left"/>
        <w:tblInd w:w="0" w:type="dxa"/>
        <w:tblLayout w:type="fixed"/>
        <w:tblCellMar>
          <w:top w:w="28" w:type="dxa"/>
          <w:left w:w="28" w:type="dxa"/>
          <w:bottom w:w="28" w:type="dxa"/>
          <w:right w:w="28" w:type="dxa"/>
        </w:tblCellMar>
      </w:tblPr>
      <w:tblGrid>
        <w:gridCol w:w="2342"/>
        <w:gridCol w:w="2054"/>
        <w:gridCol w:w="2069"/>
        <w:gridCol w:w="109"/>
        <w:gridCol w:w="109"/>
        <w:gridCol w:w="109"/>
        <w:gridCol w:w="196"/>
        <w:gridCol w:w="736"/>
        <w:gridCol w:w="109"/>
        <w:gridCol w:w="109"/>
        <w:gridCol w:w="109"/>
        <w:gridCol w:w="109"/>
        <w:gridCol w:w="196"/>
        <w:gridCol w:w="646"/>
        <w:gridCol w:w="311"/>
      </w:tblGrid>
      <w:tr>
        <w:trPr/>
        <w:tc>
          <w:tcPr>
            <w:tcW w:w="23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71,608 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58,710 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obsolescence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related to warrant and 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related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to settle derivative instrument and payoff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royalties to Aquestive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Paid-in-kind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future royalties, intellectual property, and 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Consulting fees paid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foreign currency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(148,325)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(6,969)</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and rebate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(11,823)</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 of future royalties, intellectual property, and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(157,712)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employee taxes related to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for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for warrants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principal on insurance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13,927 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33,785 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47,712 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ZEVRA THERAPEUTICS,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    Description of Business, Basis of Presentation, and Significant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Zevra Therapeutics, Inc. (the “Company” or “Zevra”) is a commercial-stage company with a late-stage pipeline committed to redefining what is possible in bringing life-changing therapeutics to people living with rare diseases. The Company is focused on broadening access through geographic expansion opportunities, progressing its pipeline toward key milestones, and delivering meaningful therapeutics. </w:t>
      </w:r>
    </w:p>
    <w:p>
      <w:pPr>
        <w:pStyle w:val="TextBody"/>
        <w:bidi w:val="0"/>
        <w:spacing w:lineRule="auto" w:line="288" w:before="0" w:after="240"/>
        <w:jc w:val="both"/>
        <w:rPr/>
      </w:pPr>
      <w:r>
        <w:rPr>
          <w:rFonts w:ascii="Times New Roman;serif" w:hAnsi="Times New Roman;serif"/>
          <w:b w:val="false"/>
          <w:color w:val="000000"/>
          <w:sz w:val="20"/>
        </w:rPr>
        <w:t>On September 20, 2024, the U.S. Food and Drug Administration (“FDA”) approved the New Drug Application (“NDA”) for MIPLYFFA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The Company's other commercial stage asset, OLPRUVA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(sodium phenylbutyrate) for oral suspension, is approved by the FDA for the treatment of certain urea cycle disorders (“UCDs”).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Arimoclomol has been granted orphan medicinal product designation for the treatment of NPC by the European Commission. The Company is pursuing regulatory approval in the E.U. and filed a Marketing Authorization Application (“MAA”) with the European Medicines Agency (“EMA”) in July 2025. In July 2026, the Committee for Medicinal Products for Human Use (CHMP) of the European Medicines Agency (EMA) adopted a negative opinion regarding the MAA. Under European regulatory procedures, the Company has requested a re-examination of the CHMP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Additionally, the Company is currently conducting a Phase 3 clinical trial of celiprolol for the treatment of Vascular Ehlers-Danlos syndrome (“VEDS”) in patients with a confirmed type III collagen mutation.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13, 2026, the Company entered into an Asset Purchase and Settlement Agreement (the “Commave Settlement Agreement”) with Commave Therapeutics SA (“Commave”) to sell certain assets of the Company to Commave and to resolve pending litigation related to claims arising under the Collaboration and License Agreement between the parties dated September 3, 2019, as amended (the “AZSTARYS License Agreement”).</w:t>
      </w:r>
    </w:p>
    <w:p>
      <w:pPr>
        <w:pStyle w:val="TextBody"/>
        <w:bidi w:val="0"/>
        <w:spacing w:lineRule="auto" w:line="288" w:before="0" w:after="240"/>
        <w:jc w:val="both"/>
        <w:rPr/>
      </w:pPr>
      <w:r>
        <w:rPr>
          <w:rFonts w:ascii="Times New Roman;serif" w:hAnsi="Times New Roman;serif"/>
          <w:b w:val="false"/>
          <w:color w:val="000000"/>
          <w:sz w:val="20"/>
        </w:rPr>
        <w:t xml:space="preserve">Pursuant to the Commave Settlement Agreement, Commave agreed to pay a total of $50.0 million, and the Company agreed to sell to Commave all of the Company's rights to certain assets relating to the Company's serdexmethylphenidate (“SDX”) portfolio, including AZSTARYS and KP1077. Under the March 2012 termination agreement with Aquestive Therapeutics, Inc. (“Aquestive”) (the “Aquestive Termination Agreement”), Aquestive has the right to receive an amount equal to 10% of any value generated by AZSTARYS and any product candidates containing SDX, including the sales proceeds under the Commave Settlement Agreement. Commave paid an aggregate of $45.0 million during the first quarter of 2026, consisting of $40.5 million paid to the Company and $4.5 million paid directly to Aquestive. In April 2026, Commave paid the remaining $5.0 million, consisting of $4.5 million to the Company and $0.5 million directly to Aquestive. In accordance with ASC 610-20, </w:t>
      </w:r>
      <w:r>
        <w:rPr>
          <w:rFonts w:ascii="Times New Roman;serif" w:hAnsi="Times New Roman;serif"/>
          <w:b w:val="false"/>
          <w:i/>
          <w:color w:val="000000"/>
          <w:sz w:val="20"/>
        </w:rPr>
        <w:t>Gains and Losses from the Derecognition of Nonfinancial Assets</w:t>
      </w:r>
      <w:r>
        <w:rPr>
          <w:rFonts w:ascii="Times New Roman;serif" w:hAnsi="Times New Roman;serif"/>
          <w:b w:val="false"/>
          <w:color w:val="000000"/>
          <w:sz w:val="20"/>
        </w:rPr>
        <w:t>, the net proceeds from the sale were recorded as a gain on sale of future royalties, intellectual property, and other assets, net of $43.3 million in the Company's unaudited condensed consolidated statements of operations for the six months ended June 30, 2026. In addition, under the Commave Settlement Agreement, the Company and Commave have agreed to terminate the AZSTARYS License Agreement in its entirety.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Aquestive Termination Agreement, Aquestive has the right to receive an amount equal to 10% of any value generated by AZSTARYS and any product candidates containing SDX. Accordingly, in connection with the Commave Settlement Agreement, Aquestive received 10% of the Company's sales proceeds.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prepared the unaudited condensed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Registration Statements on Form S-3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February 5, 2024, Zevra filed a registration statement on Form S-3 (File No. 333-276856) registering the resale of an aggregate of 2,269,721 shares of Zevra’s common stock by certain stockholders (the “Resale Registration Statement”). The Resale Registration Statement was declared effective on April 8,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June 2024 Registration Statement was declared effective on June 13,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Entry into 2024 ATM Agreement</w:t>
      </w:r>
    </w:p>
    <w:p>
      <w:pPr>
        <w:pStyle w:val="TextBody"/>
        <w:bidi w:val="0"/>
        <w:spacing w:lineRule="auto" w:line="288" w:before="0" w:after="240"/>
        <w:jc w:val="both"/>
        <w:rPr/>
      </w:pPr>
      <w:r>
        <w:rPr>
          <w:rFonts w:ascii="Times New Roman;serif" w:hAnsi="Times New Roman;serif"/>
          <w:b w:val="false"/>
          <w:color w:val="000000"/>
          <w:sz w:val="20"/>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sha</w:t>
      </w:r>
      <w:r>
        <w:rPr>
          <w:rFonts w:ascii="Times New Roman;serif" w:hAnsi="Times New Roman;serif"/>
          <w:b w:val="false"/>
          <w:color w:val="000000"/>
          <w:sz w:val="20"/>
        </w:rPr>
        <w:t>res have been issued or sold under the 2024 ATM Agreement.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reclassifications were made to historical periods' unaudited condensed consolidated financial statements to conform to the classifications used in the current year. These reclassifications had no impact on the consolidated net income, changes in stockholders' equity, or cash flows previously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preparation of these unaudited condensed consolidated financial statements in conformity with U.S. GAAP requires the Company to make estimates and assumptions that affect the amounts reported in the unaudited condensed consolidated financial statements and accompanying notes. Actual results could differ from those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the warrant liability and discount and rebate liabilities, the valuation of embedded derivatives, and the net realizable value of inventory,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240"/>
        <w:jc w:val="both"/>
        <w:rPr/>
      </w:pPr>
      <w:r>
        <w:rPr>
          <w:rFonts w:ascii="Times New Roman;serif" w:hAnsi="Times New Roman;serif"/>
          <w:b w:val="false"/>
          <w:color w:val="000000"/>
          <w:sz w:val="20"/>
        </w:rPr>
        <w:t xml:space="preserve">The Company maintains investment securities that are classified as available-for-sale securities, primarily consisting of U.S. Treasury securities and corporate bonds. In accordance with Financial Accounting Standards Board (“FASB”) Accounting Standards Codification (“ASC”) Topic 825,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the Company has historically elected the fair value option based on the Company's liquidity needs. For purchases of debt securities in previous periods, applying fair value accounting most accurately represented the Company's investment strategy due to the fact that excess cash was being invested for the purpose of funding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In such circumstances, securities are carried at fair value with unrealized gains and losses included in fair value adjustment related to investments on the unaudited condensed consolidated statements of operations. As of June 30, 2026, and December 31, 2025, the Company held securities under the fair value option with an aggregate fair value of $43.3 million and $176.5 million, respectively, that contained an aggregate unrealized loss of $(0.2) million and an aggregate unrealized gain of $0.1 million, respectively, which is included on the unaudited condensed consolidated statements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did not elect to apply the fair value option to individual securities purchased in 2026 due to its strengthening financial position and decreased need for immediate liquidity. For such securities, unrealized gains and losses are included in net unrealized gains (losses) on available-for-sale securities on the unaudited condensed consolidated statements of comprehensive income (loss).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 As of June 30, 2026, securities for which the fair value option was not elected had an aggregate fair value and amortized cost basis of $71.5 million, with an aggregate unrealized loss of $(0.1) million included in the unaudited condensed consolidated statements of comprehensive income (loss). The fair value of these securities, along with those for which the fair value option was elected, are included in the investments, current, and investments, noncurrent, lines on the unaudited condensed consolidated balance sheets. We determined that none of these recently purchased available-for-sale securities were other-than-temporarily impaired as of June 30, 2026. Therefore, we believe that it is more likely than not that the investments will be held until maturity or a forecasted recovery of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securities held at June 30, 2026, approximately $76.2 million mature within one year and approximately $38.6 million mature in one to three years.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members of the Board of Directors) are deemed to have the power to direct the activities of a VIE.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assess whether the Company has the obligation to absorb losses of the VIE or the rights to receive benefits from the VIE that could potentially be significant to the VIE, the Company considers all of its economic interests that are deemed to be variable interests in the VIE.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assessment requires judgment in determining whether these interests, in the aggregate, are considered potentially significant to the VIE. As of June 30, 2026, and December 31, 2025, the Company identified Acer Therapeutics, Inc. (“Acer”) to be the Company's sole interest in a VIE.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 and consolidates the assets and liabilities of the VIE.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Gain on Sale of PRV</w:t>
      </w:r>
    </w:p>
    <w:p>
      <w:pPr>
        <w:pStyle w:val="TextBody"/>
        <w:bidi w:val="0"/>
        <w:spacing w:lineRule="auto" w:line="288" w:before="0" w:after="240"/>
        <w:jc w:val="both"/>
        <w:rPr/>
      </w:pPr>
      <w:r>
        <w:rPr>
          <w:rFonts w:ascii="Times New Roman;serif" w:hAnsi="Times New Roman;serif"/>
          <w:b w:val="false"/>
          <w:color w:val="000000"/>
          <w:sz w:val="20"/>
        </w:rPr>
        <w:t xml:space="preserve">The Company received a transferable rare pediatric disease priority review voucher (“PRV”) in conjunction with the FDA approval of MIPLYFFA. On February 26, 2025, the Company and its subsidiary, Zevra Denmark A/S, entered into an asset purchase agreement with a buyer, pursuant to which the Company agreed to sell the PRV to the buyer for aggregate proceeds of $150.0 million, payable in cash, upon the closing of the sale. On April 1, 2025, the asset sale was consummated and title of the PRV transferred to the buyer, resulting in net proceeds of $148.3 million to the Company. The PRV did not have a carrying value at the time of sale. In accordance with ASC 610-20, </w:t>
      </w:r>
      <w:r>
        <w:rPr>
          <w:rFonts w:ascii="Times New Roman;serif" w:hAnsi="Times New Roman;serif"/>
          <w:b w:val="false"/>
          <w:i/>
          <w:color w:val="000000"/>
          <w:sz w:val="20"/>
        </w:rPr>
        <w:t xml:space="preserve">Gains and Losses from the Derecognition of Nonfinancial Assets, </w:t>
      </w:r>
      <w:r>
        <w:rPr>
          <w:rFonts w:ascii="Times New Roman;serif" w:hAnsi="Times New Roman;serif"/>
          <w:b w:val="false"/>
          <w:color w:val="000000"/>
          <w:sz w:val="20"/>
        </w:rPr>
        <w:t>the net proceeds from the sale were recorded as a gain on sale of PRV in the Company's unaudited condensed consolidated statements of operations in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0" w:after="240"/>
        <w:jc w:val="both"/>
        <w:rPr/>
      </w:pPr>
      <w:r>
        <w:rPr>
          <w:rFonts w:ascii="Times New Roman;serif" w:hAnsi="Times New Roman;serif"/>
          <w:b w:val="false"/>
          <w:color w:val="000000"/>
          <w:sz w:val="20"/>
        </w:rPr>
        <w:t xml:space="preserve">The Company recognizes revenue in accordance with the provisions of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Product Revenues, net</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revenues from product sales are recognized at the transaction price when the customer obtains control of the Company's product, which occurs at a point in time, typically upon receipt of the product by the customer. The Company's current single customer for product sales of MIPLYFFA and OLPRUVA is a specialty pharmacy provider.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Company recognizes revenue when fulfilling its performance obligation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All estimated reserve liabilities related to commercial products are recorded within the current portion of discount and rebate liabilities in the unaudited condensed consolidated balance sheets.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Expanded Access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revenue includes revenue from the sale of arimoclomol provided for the treatment of NPC under an expanded access program (“EAP”) in France and in select territories outside Europe. An EAP is a program giving specific patients access to a drug that is not yet approved for commercial sale. Only drugs targeting serious or rare indications and for which there is currently no appropriate treatment are considered for expanded access programs. Further, to be considered for the expanded access program, the drug must have proven efficacy and safety and must either be undergoing price negotiations or seeking marketing approval.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Company recognizes revenue when fulfilling its performance obligation under the global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French Health Authorities and the manufacturer have agreed to a price for reimbursements under the EAP in France, but the final price depends on the terms and conditions negotiated with the French Health Authorities, following market authorization. Any excess in the price charged by the manufacturer compared to the price agreed with the health authorities once the medicinal product is authorized in France must be repaid. The potential repayment is considered in the clawback liability. An estimate of net revenue and clawback liability are recognized using the ‘expected value’ method. Accounting for net revenue and clawback liability requires determination of the most appropriate method for estimating the expected final price. This estimate also requires assumptions with respect to inputs into the method, including current pricing of comparable marketed products within the rare disease area in France. Management has considered the expected final sales price as well as the price of similar medicinal products. The Company is operating within a rare disease therapeutic area where there is unmet treatment need and hence a limited number of comparable commercialized medicinal products. The limited available relevant market information for directly comparable commercialized medicines within rare disease increases the uncertainty in management's estimate.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Licensing Agreements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it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pStyle w:val="TextBody"/>
        <w:bidi w:val="0"/>
        <w:spacing w:lineRule="auto" w:line="288" w:before="0" w:after="240"/>
        <w:jc w:val="both"/>
        <w:rPr/>
      </w:pPr>
      <w:r>
        <w:rPr>
          <w:rFonts w:ascii="Times New Roman;serif" w:hAnsi="Times New Roman;serif"/>
          <w:b w:val="false"/>
          <w:i/>
          <w:color w:val="000000"/>
          <w:sz w:val="20"/>
        </w:rPr>
        <w:t>Upfront Fees</w:t>
      </w:r>
      <w:r>
        <w:rPr>
          <w:rFonts w:ascii="Times New Roman;serif" w:hAnsi="Times New Roman;serif"/>
          <w:b w:val="false"/>
          <w:color w:val="000000"/>
          <w:sz w:val="20"/>
        </w:rPr>
        <w:t>: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pStyle w:val="TextBody"/>
        <w:bidi w:val="0"/>
        <w:spacing w:lineRule="auto" w:line="288" w:before="0" w:after="240"/>
        <w:jc w:val="both"/>
        <w:rPr/>
      </w:pPr>
      <w:r>
        <w:rPr>
          <w:rFonts w:ascii="Times New Roman;serif" w:hAnsi="Times New Roman;serif"/>
          <w:b w:val="false"/>
          <w:i/>
          <w:color w:val="000000"/>
          <w:sz w:val="20"/>
        </w:rPr>
        <w:t>Milestone Payments</w:t>
      </w:r>
      <w:r>
        <w:rPr>
          <w:rFonts w:ascii="Times New Roman;serif" w:hAnsi="Times New Roman;serif"/>
          <w:b w:val="false"/>
          <w:color w:val="000000"/>
          <w:sz w:val="20"/>
        </w:rPr>
        <w:t>: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Acquired IPR&amp;D and Milestones Expenses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an asset acquisition, payments incurred prior to regulatory approval to acquire rights to in-process research and development (“IPR&amp;D”) projects are expensed as acquired IPR&amp;D and milestones expense in the unaudited condensed consolidated statements of operations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intangible asset amortization over the remaining useful life of the related product.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Embedded Derivative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evaluates its financial instruments to determine if such instruments are derivatives or contain features that qualify as embedded derivatives. For derivative instruments that are bifurcated from a host contract, the Company recognizes them as either assets or liabilities in the unaudited condensed consolidated balance sheets and measures them at fair value. Embedded derivatives are remeasured at each reporting date, with changes in fair value recognized in earnings within loss on derivative liability in the unaudited condensed consolidated statements of operations. The Company initially assesses the probability of triggering events for bifurcated embedded derivatives in determining fair value. The probability is assessed at each reporting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value of inventories is recorded at net realizable value. The Company determines the cost of its inventories, which include amounts related to materials and manufacturing overhead, on a first-in, first-out basis. Inventories that are not expected to be sold within 12 months are classified as inventories, noncurrent.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products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determination to capitalize inventory costs is based on various factors, including status and expectations of the regulatory approval process, any known safety or efficacy concerns, potential labeling restrictions, and any other impediments to obtaining regulatory approval. The Company ha</w:t>
      </w:r>
      <w:r>
        <w:rPr>
          <w:rFonts w:ascii="Times New Roman;serif" w:hAnsi="Times New Roman;serif"/>
          <w:b w:val="false"/>
          <w:color w:val="000000"/>
          <w:sz w:val="20"/>
          <w:shd w:fill="FFFFFF" w:val="clear"/>
        </w:rPr>
        <w:t xml:space="preserve">d no </w:t>
      </w:r>
      <w:r>
        <w:rPr>
          <w:rFonts w:ascii="Times New Roman;serif" w:hAnsi="Times New Roman;serif"/>
          <w:b w:val="false"/>
          <w:color w:val="000000"/>
          <w:sz w:val="20"/>
        </w:rPr>
        <w:t>pre-approval inventory on its unaudited condensed consolidated balance sheets as of June 30, 2026, or December 31, 2025. Inventory used in clinical trials is also expensed as research and development expense when selected for such use. Inventory that can be used in the production of either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June 30, 2026, and December 31, 2025, the Com</w:t>
      </w:r>
      <w:r>
        <w:rPr>
          <w:rFonts w:ascii="Times New Roman;serif" w:hAnsi="Times New Roman;serif"/>
          <w:b w:val="false"/>
          <w:color w:val="000000"/>
          <w:sz w:val="20"/>
          <w:shd w:fill="FFFFFF" w:val="clear"/>
        </w:rPr>
        <w:t xml:space="preserve">pany </w:t>
      </w:r>
      <w:r>
        <w:rPr>
          <w:rFonts w:ascii="Times New Roman;serif" w:hAnsi="Times New Roman;serif"/>
          <w:b w:val="false"/>
          <w:color w:val="000000"/>
          <w:sz w:val="20"/>
        </w:rPr>
        <w:t>di</w:t>
      </w:r>
      <w:r>
        <w:rPr>
          <w:rFonts w:ascii="Times New Roman;serif" w:hAnsi="Times New Roman;serif"/>
          <w:b w:val="false"/>
          <w:color w:val="000000"/>
          <w:sz w:val="20"/>
          <w:shd w:fill="FFFFFF" w:val="clear"/>
        </w:rPr>
        <w:t xml:space="preserve">d not </w:t>
      </w:r>
      <w:r>
        <w:rPr>
          <w:rFonts w:ascii="Times New Roman;serif" w:hAnsi="Times New Roman;serif"/>
          <w:b w:val="false"/>
          <w:color w:val="000000"/>
          <w:sz w:val="20"/>
        </w:rPr>
        <w:t>have pre-launch inventory that qualified for capitalization.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unaudited condensed consolidated statements of operations. The determination of whether inventory costs will be realizable requires the use of estimates by management. If actual market conditions are less favorable than projected by management, additional write downs of inventory may be required. Additionally, the Company’s products are subject to strict quality control and monitoring, which is performed throughout the manufacturing process. In the event that certain batches or units of product do not meet quality specifications, the Company will record a charge to cost of product revenue, to write down any unsaleable inventory to its estimated net realizable value. For the three and six months ended June 30, 2026, the Company recognized $0.0 million and $0.5 million, respectively, related to write-downs for unsaleable inventory. For the three and six months ended June 30, 2025, the Company recognized a charge of approximately $11.7 million related to write-downs for unsaleable inventory.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Product Revenue</w:t>
      </w:r>
    </w:p>
    <w:p>
      <w:pPr>
        <w:pStyle w:val="TextBody"/>
        <w:bidi w:val="0"/>
        <w:spacing w:lineRule="auto" w:line="288" w:before="0" w:after="240"/>
        <w:jc w:val="both"/>
        <w:rPr/>
      </w:pPr>
      <w:r>
        <w:rPr>
          <w:rFonts w:ascii="Times New Roman;serif" w:hAnsi="Times New Roman;serif"/>
          <w:b w:val="false"/>
          <w:color w:val="000000"/>
          <w:sz w:val="20"/>
        </w:rPr>
        <w:t>The components of cost of product revenue are royalties and expenses directly attributable to revenue. To date, the Company has generated revenue from product sales of MIPLYFFA and OLPRUVA, reimbursements received under the global EAP, royalties or</w:t>
      </w:r>
      <w:r>
        <w:rPr>
          <w:color w:val="000000"/>
          <w:shd w:fill="FFFFFF" w:val="clear"/>
        </w:rPr>
        <w:t xml:space="preserve"> </w:t>
      </w:r>
      <w:r>
        <w:rPr>
          <w:rFonts w:ascii="Times New Roman;serif" w:hAnsi="Times New Roman;serif"/>
          <w:b w:val="false"/>
          <w:color w:val="000000"/>
          <w:sz w:val="20"/>
          <w:shd w:fill="FFFFFF" w:val="clear"/>
        </w:rPr>
        <w:t>net sales milestone payments generated under the AZSTARYS License Agreement, and consulting agreements.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our acquisition of the assets of Orphazyme A/S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 and a $5.0 million sales milestone payment upon annual sales of $100.0 million. XOMA was acquired by Ligand Pharmaceuticals in July 2026.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28, 2023, Acer and Relief Therapeutics SA (“Relief”) entered into a termination agreement (the “Relief Termination Agreement”). Pursuant to the Relief Termination Agreement, Zevra is obligated to pay royalties of 10% of U.S. net sales of OLPRUVA up to a maximum of $45.0 million, plus specified regulatory milestones, for total payments to Relief of up to $56.5 million. In April 2025, Relief sold the rights to this royalty to Soleus Capital Management L.P., and in December 2025, Relief merged with NeuroX Group SA, and the combined company now operates as MindMaze Therapeutics Holding SA.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and Other Receivables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and other receivables consist of receivables from MIPLYFFA and OLPRUVA product sales, receivables under the AZSTARYS License Agreement, the global EAP, and other receivables due to the Company. Receivables under the AZSTARYS License Agreement are recorded for amounts due to the Company related to royalties on product sales. Receivables under the global EAP are recorded for revenue from arimoclomol in France and select territories outside of Europe.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Major components of research and development include costs of clinical trials and related clinical manufacturing costs, cash compensation, stock-based compensation, costs of drug development, costs of materials and supplies, overhead costs, regulatory and compliance costs, and fees paid to consultants and other entities that conduct certain research and development activities on the Company’s behalf. Costs incurred in research and development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records nonrefundable advance payments it makes for future research and development activities as prepaid expenses. Prepaid expenses are recognized as expense in the unaudited condensed consolidated statements of operations as the Company receives the related goods or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makes adjustments, if necessary.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Patent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Patent costs, including related legal costs, are expensed as incurred and recorded within general and administrative expenses on the unaudited condensed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United States (including federal, state, and local jurisdictions) and the Kingdom of Denmark. Generally, the Company is subject to examination by tax jurisdictions from 2021 to 2024 tax years as the statute of limitations (excluding net operating loss carryforwards) are 3 to 4 years in the United States and Kingdom of Denmark. Tax liabilities may arise from interpretations and judgments made by the Company with regard to transfer pricing in the application of the relevant statutes, regulations, tax rulings and case law across the various jurisdictions. The Company uses significant judgment in (1) determining whether the technical merits of tax positions taken in the various jurisdictions are more-likely-than-not to be sustained based on applicable tax law and (2) measuring the related amount of tax liability that qualifies for recognition. The United States federal and state tax jurisdictions can audit the net operating loss carryforwards from the tax years in which the statute of limitations has expired but can only adjust the net operating loss carryforwards. No income tax returns are currently under examination by United States taxing authorities.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 which includes a broad range of tax reform provisions, was signed into law in the United States. This includes a net Controlled Foreign Corporation (“CFC”) tested income (“NCTI”) provision, which is an update of the GILTI provision that was effective under H.R. 1. The Company has not recorded any deferred taxes for future NCTI inclusions as any future inclusions are expected to be treated as a period expense. The Company continues to assess the impact of the OBBB but currently does not expect the OBBB to have a material impact on the Company's estimated annual effective tax rate in 2026.</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instruments issued to non-employees using a fair value approach under ASC subtopic 505-50. The Company values equity instruments and stock options granted using the Black-Scholes-Merton (“BSM”) option pricing model.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the two-class method to compute net income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if applicable, and select warrants are entitled to participate in distributions, when and if declared by the board of directors, that are made to common stockholders and, as a result, are considered participating securities.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See Note C for further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translated into the reporting currency using the exchange rates in effect on the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 (loss) in the accompanying unaudited condensed consolidated statements of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Debt issuance costs incurred in connection with financing arrangements are recorded as a reduction of the related debt on the unaudited condensed consolidated balance sheets and amortized over the life of the respective financing arrangement using the effective interest method.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jc w:val="both"/>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 FASB ASC Topic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 FASB ASC Topic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issuing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warrants that meet all criteria for equity classification, the warrants are required to be recorded as a component of additional paid-in capital on the unaudited condensed consolidated statements of changes in stockholders’ equity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unaudited condensed consolidated statements of operations. The fair value of the warrants was estimated using the BSM option pricing model.</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New Accounting Pronouncements Recently Adopted</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 December 2023, the FASB issued Accounting Standards Update (“ASU”) No. 2023-09, Income Taxes (“Topic 740”): </w:t>
      </w:r>
      <w:r>
        <w:rPr>
          <w:rFonts w:ascii="Times New Roman;serif" w:hAnsi="Times New Roman;serif"/>
          <w:b w:val="false"/>
          <w:i/>
          <w:color w:val="000000"/>
          <w:sz w:val="20"/>
          <w:shd w:fill="FFFFFF" w:val="clear"/>
        </w:rPr>
        <w:t>Improvements to Income Tax Disclosures</w:t>
      </w:r>
      <w:r>
        <w:rPr>
          <w:rFonts w:ascii="Times New Roman;serif" w:hAnsi="Times New Roman;serif"/>
          <w:b w:val="false"/>
          <w:color w:val="000000"/>
          <w:sz w:val="20"/>
          <w:shd w:fill="FFFFFF" w:val="clear"/>
        </w:rPr>
        <w:t xml:space="preserve">. ASU 2023-09 establishes new income tax disclosure requirements in addition to modifying and eliminating certain existing requirements. Under the new guidance, entities must consistently categorize and provide greater disaggregation of information in the reconciliation of the effective tax rate to the statutory tax rate and must also further disaggregate income taxes paid. The Company adopted ASU 2023-09 for the year ended December 31, 2025 using a retrospective approach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included the required disclosures in the Notes to the Consolidated Financial Statements for income taxes. This standard update did not affect the Company’s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0" w:after="240"/>
        <w:jc w:val="both"/>
        <w:rPr/>
      </w:pPr>
      <w:r>
        <w:rPr>
          <w:rFonts w:ascii="Times New Roman;serif" w:hAnsi="Times New Roman;serif"/>
          <w:b w:val="false"/>
          <w:color w:val="000000"/>
          <w:sz w:val="20"/>
        </w:rPr>
        <w:t xml:space="preserve">In November 2024, the FASB issued ASU No. 2024-03, Income Statement: Reporting Comprehensive Income-Expense Disaggregation Disclosures (“Subtopic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The new standard requires disclosure of specified information about certain costs and expenses. ASU 2024-03 is effective for fiscal years beginning after December 15, 2026 and for interim periods within fiscal years beginning after December 15, 2027. Early adoption is permitted. The Company is currently evaluating this guidance to determine the impact it may have on its consolidated financial statements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    Segment Information</w:t>
      </w:r>
    </w:p>
    <w:p>
      <w:pPr>
        <w:pStyle w:val="TextBody"/>
        <w:bidi w:val="0"/>
        <w:spacing w:lineRule="auto" w:line="288" w:before="0" w:after="240"/>
        <w:jc w:val="both"/>
        <w:rPr/>
      </w:pPr>
      <w:r>
        <w:rPr>
          <w:rFonts w:ascii="Times New Roman;serif" w:hAnsi="Times New Roman;serif"/>
          <w:b w:val="false"/>
          <w:color w:val="000000"/>
          <w:sz w:val="20"/>
        </w:rPr>
        <w:t xml:space="preserve">Zevra manages its business activities on a consolidated basis and operates as a single operating segment dedicated to the research and development, manufacturing, commercialization and sale of innovative medicines and therapies. </w:t>
      </w:r>
      <w:r>
        <w:rPr>
          <w:rFonts w:ascii="Times New Roman;serif" w:hAnsi="Times New Roman;serif"/>
          <w:b w:val="false"/>
          <w:color w:val="000000"/>
          <w:sz w:val="20"/>
          <w:shd w:fill="FFFFFF" w:val="clear"/>
        </w:rPr>
        <w:t xml:space="preserve">The Company primarily derives its revenue from MIPLYFFA and OLPRUVA product sales and reimbursements received under the global EAP. For the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Company's revenue included royalties generated under the AZSTARYS License Agreement. </w:t>
      </w:r>
    </w:p>
    <w:p>
      <w:pPr>
        <w:pStyle w:val="TextBody"/>
        <w:bidi w:val="0"/>
        <w:spacing w:lineRule="auto" w:line="288" w:before="0" w:after="240"/>
        <w:jc w:val="both"/>
        <w:rPr/>
      </w:pPr>
      <w:r>
        <w:rPr>
          <w:rFonts w:ascii="Times New Roman;serif" w:hAnsi="Times New Roman;serif"/>
          <w:b w:val="false"/>
          <w:color w:val="000000"/>
          <w:sz w:val="20"/>
        </w:rPr>
        <w:t xml:space="preserve">Zevra's CODM is the Company's Chief Executive Officer, Neil F. McFarlane. The CODM uses net income, as reported in the Company's unaudited condensed consolidated statements of operations,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 </w:t>
      </w:r>
      <w:r>
        <w:rPr>
          <w:rFonts w:ascii="Times New Roman;serif" w:hAnsi="Times New Roman;serif"/>
          <w:b w:val="false"/>
          <w:color w:val="000000"/>
          <w:sz w:val="20"/>
          <w:shd w:fill="FFFFFF" w:val="clear"/>
        </w:rPr>
        <w:t>The accounting policies of the segment are the same as those described in Note B</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operating results of the Company's segment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584"/>
        <w:gridCol w:w="1243"/>
        <w:gridCol w:w="1249"/>
        <w:gridCol w:w="109"/>
        <w:gridCol w:w="109"/>
        <w:gridCol w:w="109"/>
        <w:gridCol w:w="219"/>
        <w:gridCol w:w="749"/>
        <w:gridCol w:w="113"/>
        <w:gridCol w:w="113"/>
        <w:gridCol w:w="113"/>
        <w:gridCol w:w="113"/>
        <w:gridCol w:w="219"/>
        <w:gridCol w:w="749"/>
        <w:gridCol w:w="113"/>
        <w:gridCol w:w="109"/>
        <w:gridCol w:w="109"/>
        <w:gridCol w:w="109"/>
        <w:gridCol w:w="211"/>
        <w:gridCol w:w="721"/>
        <w:gridCol w:w="109"/>
        <w:gridCol w:w="109"/>
        <w:gridCol w:w="109"/>
        <w:gridCol w:w="109"/>
        <w:gridCol w:w="211"/>
        <w:gridCol w:w="721"/>
        <w:gridCol w:w="674"/>
      </w:tblGrid>
      <w:tr>
        <w:trPr/>
        <w:tc>
          <w:tcPr>
            <w:tcW w:w="158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directly identified 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6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not directly identified 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directly identified 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6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not directly identified 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26,327 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67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67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67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(138,738)</w:t>
            </w:r>
          </w:p>
        </w:tc>
        <w:tc>
          <w:tcPr>
            <w:tcW w:w="674"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Other income, net, included in segment net income includes the gain on sale of the PRV, cost of product revenue, intangible asset amortization, gain on sale of future royalties, intellectual property, and other assets, net, loss on extinguishment of debt, loss on derivative liability, fair value adjustment related to warrant and contingent value right (“CVR”) liabilities, fair value adjustments related to investments, and other overhead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holds long-lived assets in the United States of $2.0 million and $2.2 million as of June 30, 2026, and December 31, 2025, respectively. The Company holds long-lived assets in Europe of $0.3 million and $0.4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    Inventories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 (in thousands):</w:t>
      </w:r>
    </w:p>
    <w:tbl>
      <w:tblPr>
        <w:tblW w:w="4410" w:type="dxa"/>
        <w:jc w:val="left"/>
        <w:tblInd w:w="0" w:type="dxa"/>
        <w:tblLayout w:type="fixed"/>
        <w:tblCellMar>
          <w:top w:w="28" w:type="dxa"/>
          <w:left w:w="28" w:type="dxa"/>
          <w:bottom w:w="28" w:type="dxa"/>
          <w:right w:w="28" w:type="dxa"/>
        </w:tblCellMar>
      </w:tblPr>
      <w:tblGrid>
        <w:gridCol w:w="549"/>
        <w:gridCol w:w="481"/>
        <w:gridCol w:w="485"/>
        <w:gridCol w:w="109"/>
        <w:gridCol w:w="109"/>
        <w:gridCol w:w="109"/>
        <w:gridCol w:w="211"/>
        <w:gridCol w:w="616"/>
        <w:gridCol w:w="109"/>
        <w:gridCol w:w="109"/>
        <w:gridCol w:w="109"/>
        <w:gridCol w:w="109"/>
        <w:gridCol w:w="280"/>
        <w:gridCol w:w="819"/>
        <w:gridCol w:w="206"/>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    Debt Obligations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 Loans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the Lenders provided a senior secured loan facility to the Company in the aggregate principal amount of $100.0 million, which was divided into three tranches as follows: (i) $60.0 million, which was funded in full on the Term Loans Closing Date; (ii) $20.0 million, which was available to the Company in up to two drawings, each in an amount not to exceed $10.0 million, at the Company's option until October 5, 2025; and; (iii) $20.0 million, which was available to the Company upon approval by the FDA of the NDA for MIPLYFFA for the treatment of NPC, at the Company’s option until December 31, 2024 (collectively, the “Term Loans”). The Company did not draw down the amounts described in (ii) and (iii) above prior to their applicable expiration dates. The proceeds of the Term Loans were used to refinance certain existing indebtedness of the Company and its subsidiaries. The Company used the remaining proceeds to pay fees and expenses related to the debt financing and commercialization of MIPLYFFA and OLPRUVA, and to further the development of its other product candidates.</w:t>
      </w:r>
    </w:p>
    <w:p>
      <w:pPr>
        <w:pStyle w:val="TextBody"/>
        <w:bidi w:val="0"/>
        <w:spacing w:lineRule="auto" w:line="288" w:before="0" w:after="240"/>
        <w:jc w:val="both"/>
        <w:rPr/>
      </w:pPr>
      <w:r>
        <w:rPr>
          <w:rFonts w:ascii="Times New Roman;serif" w:hAnsi="Times New Roman;serif"/>
          <w:b w:val="false"/>
          <w:color w:val="000000"/>
          <w:sz w:val="20"/>
        </w:rPr>
        <w:t xml:space="preserve">The Company evaluated the contractual terms of the Term Loans in accordance with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to determine whether any embedded features require bifurcation from the host debt instrument. The embedded features identified in the Term Loans included a mandatory prepayment provision upon the occurrence of certain triggering events. Based on its assessment, the Company determined that the mandatory repayment feature is not clearly and closely related to the host debt instrument and therefore requires bifurcation and separate accounting as a derivative instrument. The embedded derivative is not designated as a hedging instrument and is accounted for separately from the host debt instrument. The derivative is remeasured at each reporting date, with changes in fair value recognized in the unaudited consolidated statements of operations. As of December 31, 2025, the embedded derivative had no value as the Company determined that the probability of the associated triggering event was remote. The Company recognized a loss on derivative liability of $0.0 million and $7.2 million in the unaudited condensed consolidated statements of operations for the three and six months ended June 30, 2026, respectively. The embedded derivative was eliminated upon repayment of the Term Loans as described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12, 2026, the Company repaid in full all outstanding obligations under the Credit Agreement. As of the date of repayment, the aggregate principal amount outstanding under the Credit Agreement was approximately $63.1 million (which includes accrued paid-in-kind interest of approximately $3.1 million), plus accrued and unpaid cash interest of $1.4 million. Under the terms of the Credit Agreement, the Company was also required to pay a final payment premium of $1.8 million, a make-whole amount and prepayment premium of $7.2 million and legal fees of approximately $0.1 million. The Term Loans were secured by a first priority perfected lien on, and security interest in, substantially all current and future assets of the Company and certain of its subsidiaries that were guarantors thereunder. Upon repayment, the Credit Agreement and all related loan documents were terminated, and all liens and security interests granted thereunder were released. The Company recognized a loss on extinguishment of debt of $0.0 million and $2.8 million in the unaudited condensed consolidated statements of operations during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Prior to the repayment, the principal amount of the Term Loans outstanding (the “Outstanding Principal Amount”) bore interest at a rate equal to 3-Month Term Secured Overnight Financing Rate (“SOFR”) plus 7.00% per annum. The 3-Month Term SOFR rate was subject to a floor of 4.00% per annum. Interest was payable quarterly in arrears on the last day of each calendar quarter. The Company had the option to pay up to 25% of the interest in-kind beginning on the Term Loans Closing Date, through and including March 31, 2026. During the three months ended March 31, 2026, the Company repaid approximately $3.1 million of interest-in-kind. The Company had recognized approximately $3.1 million of interest-in-kind as of December 31, 2025, which is included in long-term debt in the unaudited condensed consolidated balance sheet. The Term Lo</w:t>
      </w:r>
      <w:r>
        <w:rPr>
          <w:rFonts w:ascii="Times New Roman;serif" w:hAnsi="Times New Roman;serif"/>
          <w:b w:val="false"/>
          <w:color w:val="000000"/>
          <w:sz w:val="20"/>
          <w:shd w:fill="FFFFFF" w:val="clear"/>
        </w:rPr>
        <w:t>ans would have matured on April 5, 2029, the fifth anniversary of the Term Loans Closing date.</w:t>
      </w:r>
    </w:p>
    <w:p>
      <w:pPr>
        <w:pStyle w:val="TextBody"/>
        <w:bidi w:val="0"/>
        <w:spacing w:lineRule="auto" w:line="288" w:before="0" w:after="240"/>
        <w:jc w:val="both"/>
        <w:rPr/>
      </w:pPr>
      <w:r>
        <w:rPr>
          <w:rFonts w:ascii="Times New Roman;serif" w:hAnsi="Times New Roman;serif"/>
          <w:b w:val="false"/>
          <w:color w:val="000000"/>
          <w:sz w:val="20"/>
        </w:rPr>
        <w:t xml:space="preserve">Long-term debt consisted of the following at </w:t>
      </w:r>
      <w:r>
        <w:rPr>
          <w:rFonts w:ascii="Times New Roman;serif" w:hAnsi="Times New Roman;serif"/>
          <w:b w:val="false"/>
          <w:color w:val="000000"/>
          <w:sz w:val="20"/>
          <w:shd w:fill="FFFFFF" w:val="clear"/>
        </w:rPr>
        <w:t xml:space="preserve">December 31, 2025 </w:t>
      </w:r>
      <w:r>
        <w:rPr>
          <w:rFonts w:ascii="Times New Roman;serif" w:hAnsi="Times New Roman;serif"/>
          <w:b w:val="false"/>
          <w:color w:val="000000"/>
          <w:sz w:val="20"/>
        </w:rPr>
        <w:t>(in thousands):</w:t>
      </w:r>
    </w:p>
    <w:tbl>
      <w:tblPr>
        <w:tblW w:w="4364" w:type="dxa"/>
        <w:jc w:val="left"/>
        <w:tblInd w:w="0" w:type="dxa"/>
        <w:tblLayout w:type="fixed"/>
        <w:tblCellMar>
          <w:top w:w="28" w:type="dxa"/>
          <w:left w:w="28" w:type="dxa"/>
          <w:bottom w:w="28" w:type="dxa"/>
          <w:right w:w="28" w:type="dxa"/>
        </w:tblCellMar>
      </w:tblPr>
      <w:tblGrid>
        <w:gridCol w:w="1106"/>
        <w:gridCol w:w="974"/>
        <w:gridCol w:w="979"/>
        <w:gridCol w:w="253"/>
        <w:gridCol w:w="867"/>
        <w:gridCol w:w="185"/>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63,608 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original issue discount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61,928 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    Revenue, net</w:t>
      </w:r>
    </w:p>
    <w:p>
      <w:pPr>
        <w:pStyle w:val="TextBody"/>
        <w:bidi w:val="0"/>
        <w:spacing w:lineRule="auto" w:line="288" w:before="0" w:after="240"/>
        <w:jc w:val="both"/>
        <w:rPr/>
      </w:pPr>
      <w:r>
        <w:rPr>
          <w:rFonts w:ascii="Times New Roman;serif" w:hAnsi="Times New Roman;serif"/>
          <w:b w:val="false"/>
          <w:color w:val="000000"/>
          <w:sz w:val="20"/>
        </w:rPr>
        <w:t>For the three and six months ended June 30, 2026, the Company record</w:t>
      </w:r>
      <w:r>
        <w:rPr>
          <w:rFonts w:ascii="Times New Roman;serif" w:hAnsi="Times New Roman;serif"/>
          <w:b w:val="false"/>
          <w:color w:val="000000"/>
          <w:sz w:val="20"/>
          <w:shd w:fill="FFFFFF" w:val="clear"/>
        </w:rPr>
        <w:t>ed</w:t>
      </w:r>
      <w:r>
        <w:rPr>
          <w:color w:val="000000"/>
        </w:rPr>
        <w:t xml:space="preserve"> </w:t>
      </w:r>
      <w:r>
        <w:rPr>
          <w:rFonts w:ascii="Times New Roman;serif" w:hAnsi="Times New Roman;serif"/>
          <w:b w:val="false"/>
          <w:color w:val="000000"/>
          <w:sz w:val="20"/>
        </w:rPr>
        <w:t>$39.7 million and $75.9 million, respectively, of revenue. For the three and six months ended June 30, 2025, the Company recorded $25.9 million and $46.3 million, respectively, of revenue. Included in revenue for the three and six months ended June 30, 2025, is a de minimis amount related to the licensing of certain IP.</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Product Revenues,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20, 2024, the FDA approved MIPLYFFA (arimoclomol), an orally-delivered treatment for NPC, which is an ultra-rare and progressive neurodegenerative disease, for treatment in combination with miglustat. For the three and six months ended June 30, 2026, sales of MIPLYFFA were $30.2 million and $54.9 million, respectively. For the three and six months ended June 30, 2025, sales of MIPLYFFA were $21.5 million and $38.6 million,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27, 2022, the FDA approved OLPRUVA (sodium phenylbutyrate), a prescription medicine used along with certain therapy, including changes in diet, for the chronic management of adults and children with certain UCDs. For the three and six months ended June 30, 2026, sales of OLPRUVA were $0.2 million and $0.5 million, respectively. For the three and six months ended June 30, 2025, sales of OLPRUVA were $0.3 million and $0.4 million, respectively.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currently utilizes a single specialty pharmacy provider as its sole distributor for MIPLYFFA and OLPRUVA. The Company also enters into arrangements with health care providers and payors that provide for government mandated and/or privately negotiated rebates with respect to the purchase of its products. All estimated reserve liabilities related to commercial products are recorded within the current portion of discount and rebate liabilities in the unaudited condensed consolidated balance sheets. To commercialize MIPLYFFA and OLPRUVA in the United States, the Company has built marketing, sales, medical affairs, distribution, managerial and other non-technical capabilities or has made arrangements with third parties to perform these services. All revenues derived from sales of MIPLYFFA and OLPRUVA are in the United States.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Expanded Access Program</w:t>
      </w:r>
    </w:p>
    <w:p>
      <w:pPr>
        <w:pStyle w:val="TextBody"/>
        <w:bidi w:val="0"/>
        <w:spacing w:lineRule="auto" w:line="288" w:before="0" w:after="240"/>
        <w:jc w:val="both"/>
        <w:rPr/>
      </w:pPr>
      <w:r>
        <w:rPr>
          <w:rFonts w:ascii="Times New Roman;serif" w:hAnsi="Times New Roman;serif"/>
          <w:b w:val="false"/>
          <w:color w:val="000000"/>
          <w:sz w:val="20"/>
        </w:rPr>
        <w:t xml:space="preserve">For the three and six months ended June 30, 2026, the Company recognized revenue related to the global EAP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 xml:space="preserve">$9.0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$19.1 million, respectively, net of a clawback liability and other adjustments of $4.3 million and $9.0 million, respectively. For the three and six months ended June 30, 2025, the Company recognized revenue related to the global EAP of $2.6 million and $5.0 million, net of a clawback liability and other adjustments of $2.0 million and $3.7 million, respectively.</w:t>
      </w:r>
    </w:p>
    <w:p>
      <w:pPr>
        <w:pStyle w:val="TextBody"/>
        <w:bidi w:val="0"/>
        <w:spacing w:lineRule="auto" w:line="288" w:before="0" w:after="240"/>
        <w:jc w:val="both"/>
        <w:rPr/>
      </w:pPr>
      <w:r>
        <w:rPr>
          <w:rFonts w:ascii="Times New Roman;serif" w:hAnsi="Times New Roman;serif"/>
          <w:b w:val="false"/>
          <w:color w:val="000000"/>
          <w:sz w:val="20"/>
        </w:rPr>
        <w:t>The total estimated clawback reserve liability as of June 30, 2026, and December 31, 2025, was $18.6 million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nd $15.3 million, respectively. As of June 30, 2026, and December 31, 2025, this estimated reserve liability is recorded as discount and rebate liabilities in the unaudited condensed consolidated balance sheets and is separated into current and long-term based upon the timing of the expected payment to the French regulators.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AZSTARYS License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was obligated to make such royalty payments on a product-by-product basis until expiration of the royalty term for the applicable product.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and six months ended June 30, 2026, the Company recognized revenue under the AZSTARYS License Agreement of $0.3 million and $1.4 million, respectively, and all revenues recognized under this agreement were derived in the United States. For the three and six months ended June 30, 2025, the Company recognized revenue under the AZSTARYS License Agreement of $1.2 million and $2.1 million, respectively. There was no deferred revenue related to this agreement as of June 30, 2026, or December 31, 2025. As further discussed in Note A, the Company and Commave agreed to terminate the AZSTARYS License Agreement during the first quarter of 2026, and therefore the Company will not recognize revenue in future periods under the agreement.</w:t>
      </w:r>
    </w:p>
    <w:p>
      <w:pPr>
        <w:pStyle w:val="TextBody"/>
        <w:bidi w:val="0"/>
        <w:spacing w:lineRule="auto" w:line="288" w:before="0" w:after="240"/>
        <w:jc w:val="both"/>
        <w:rPr/>
      </w:pPr>
      <w:r>
        <w:rPr>
          <w:rFonts w:ascii="Times New Roman;serif" w:hAnsi="Times New Roman;serif"/>
          <w:b w:val="false"/>
          <w:color w:val="000000"/>
          <w:sz w:val="20"/>
        </w:rPr>
        <w:t xml:space="preserve">The AZSTARYS License Agreement </w:t>
      </w:r>
      <w:r>
        <w:rPr>
          <w:rFonts w:ascii="Times New Roman;serif" w:hAnsi="Times New Roman;serif"/>
          <w:b w:val="false"/>
          <w:color w:val="000000"/>
          <w:sz w:val="20"/>
          <w:shd w:fill="FFFFFF" w:val="clear"/>
        </w:rPr>
        <w:t>is within the scope of ASC 606, as the transaction represents a contract with a customer where the participants function in a customer/vendor relationship and are not exposed equally to the risks and rewards of the activities contemplated under the AZSTARYS License Agreement.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Relief Exclusive License Agreement</w:t>
      </w:r>
    </w:p>
    <w:p>
      <w:pPr>
        <w:pStyle w:val="TextBody"/>
        <w:bidi w:val="0"/>
        <w:spacing w:lineRule="auto" w:line="288" w:before="0" w:after="240"/>
        <w:jc w:val="both"/>
        <w:rPr/>
      </w:pPr>
      <w:r>
        <w:rPr>
          <w:rFonts w:ascii="Times New Roman;serif" w:hAnsi="Times New Roman;serif"/>
          <w:b w:val="false"/>
          <w:color w:val="000000"/>
          <w:sz w:val="20"/>
        </w:rPr>
        <w:t>On August 28, 2023, Acer and Relief Therapeutics SA (“Relief”) entered into an exclusive license agreement (the “Relief License Agreement”). Pursuant to the Relief License Agreement, Relief holds exclusive development and commercialization rights for OLPRUVA in the European Union (“EU”), Liechtenstein, San Marino, Vatican City, Norway, Iceland, Principality of Monaco, Andorra, Gibraltar, Switzerland, United Kingdom, Albania, Bosnia, Kosovo, Montenegro, Serbia and North Macedonia (“Geographical Europe”). The Company has the right to receive a royalty of up to 10% of the net sales of OLPRUVA in Geographical Europ</w:t>
      </w:r>
      <w:r>
        <w:rPr>
          <w:rFonts w:ascii="Times New Roman;serif" w:hAnsi="Times New Roman;serif"/>
          <w:b w:val="false"/>
          <w:color w:val="000000"/>
          <w:sz w:val="20"/>
          <w:shd w:fill="FFFFFF" w:val="clear"/>
        </w:rPr>
        <w:t xml:space="preserve">e. For the three and six months ended June 30, 2026, and 2025, the Company did not recognize any revenue under the Relief License Agreement. There was no deferred revenue related to this agreement 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Accounts and Other Receivables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Accounts and other receivables consist of receivables from MIPLYFFA and OLPRUVA product sales, the global EAP, and other receivables due to the Company. Receivables under the global EAP are recorded for product sales of MIPLYFFA in France and select territories outside of Europe.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Accounts and other receivables consist of the following (in thousands): </w:t>
      </w:r>
    </w:p>
    <w:tbl>
      <w:tblPr>
        <w:tblW w:w="6915" w:type="dxa"/>
        <w:jc w:val="left"/>
        <w:tblInd w:w="0" w:type="dxa"/>
        <w:tblLayout w:type="fixed"/>
        <w:tblCellMar>
          <w:top w:w="28" w:type="dxa"/>
          <w:left w:w="28" w:type="dxa"/>
          <w:bottom w:w="28" w:type="dxa"/>
          <w:right w:w="28" w:type="dxa"/>
        </w:tblCellMar>
      </w:tblPr>
      <w:tblGrid>
        <w:gridCol w:w="1417"/>
        <w:gridCol w:w="1247"/>
        <w:gridCol w:w="1251"/>
        <w:gridCol w:w="109"/>
        <w:gridCol w:w="109"/>
        <w:gridCol w:w="109"/>
        <w:gridCol w:w="211"/>
        <w:gridCol w:w="721"/>
        <w:gridCol w:w="109"/>
        <w:gridCol w:w="109"/>
        <w:gridCol w:w="109"/>
        <w:gridCol w:w="109"/>
        <w:gridCol w:w="253"/>
        <w:gridCol w:w="867"/>
        <w:gridCol w:w="185"/>
      </w:tblGrid>
      <w:tr>
        <w:trPr/>
        <w:tc>
          <w:tcPr>
            <w:tcW w:w="14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related to product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As of June 30, 2026, and December 31, 2025, no</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20"/>
        </w:rPr>
        <w:t>eserve or allowance for doubtful accounts had been established.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G.    Stock and Warrants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Authorized, Issued, and Outstanding Common Shares</w:t>
      </w:r>
    </w:p>
    <w:p>
      <w:pPr>
        <w:pStyle w:val="TextBody"/>
        <w:bidi w:val="0"/>
        <w:spacing w:lineRule="auto" w:line="288" w:before="0" w:after="240"/>
        <w:jc w:val="both"/>
        <w:rPr/>
      </w:pPr>
      <w:r>
        <w:rPr>
          <w:rFonts w:ascii="Times New Roman;serif" w:hAnsi="Times New Roman;serif"/>
          <w:b w:val="false"/>
          <w:color w:val="000000"/>
          <w:sz w:val="20"/>
        </w:rPr>
        <w:t xml:space="preserve">As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 had </w:t>
      </w:r>
      <w:r>
        <w:rPr>
          <w:rFonts w:ascii="Times New Roman;serif" w:hAnsi="Times New Roman;serif"/>
          <w:b w:val="false"/>
          <w:color w:val="000000"/>
          <w:sz w:val="20"/>
        </w:rPr>
        <w:t>250,000,000</w:t>
      </w:r>
      <w:r>
        <w:rPr>
          <w:color w:val="000000"/>
          <w:shd w:fill="FFFFFF" w:val="clear"/>
        </w:rPr>
        <w:t xml:space="preserve"> </w:t>
      </w:r>
      <w:r>
        <w:rPr>
          <w:rFonts w:ascii="Times New Roman;serif" w:hAnsi="Times New Roman;serif"/>
          <w:b w:val="false"/>
          <w:color w:val="000000"/>
          <w:sz w:val="20"/>
          <w:shd w:fill="FFFFFF" w:val="clear"/>
        </w:rPr>
        <w:t xml:space="preserve">shares of authorized common stock. Of the authorized shares, </w:t>
      </w:r>
      <w:r>
        <w:rPr>
          <w:rFonts w:ascii="Times New Roman;serif" w:hAnsi="Times New Roman;serif"/>
          <w:b w:val="false"/>
          <w:color w:val="000000"/>
          <w:sz w:val="20"/>
        </w:rPr>
        <w:t>60,917,598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58,338,319</w:t>
      </w:r>
      <w:r>
        <w:rPr>
          <w:color w:val="000000"/>
          <w:shd w:fill="FFFFFF" w:val="clear"/>
        </w:rPr>
        <w:t xml:space="preserve"> </w:t>
      </w:r>
      <w:r>
        <w:rPr>
          <w:rFonts w:ascii="Times New Roman;serif" w:hAnsi="Times New Roman;serif"/>
          <w:b w:val="false"/>
          <w:color w:val="000000"/>
          <w:sz w:val="20"/>
          <w:shd w:fill="FFFFFF" w:val="clear"/>
        </w:rPr>
        <w:t xml:space="preserve">shares of common stock were issued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and 59,341,906 and 56,854,781</w:t>
      </w:r>
      <w:r>
        <w:rPr>
          <w:color w:val="000000"/>
          <w:shd w:fill="FFFFFF" w:val="clear"/>
        </w:rPr>
        <w:t xml:space="preserve"> </w:t>
      </w:r>
      <w:r>
        <w:rPr>
          <w:rFonts w:ascii="Times New Roman;serif" w:hAnsi="Times New Roman;serif"/>
          <w:b w:val="false"/>
          <w:color w:val="000000"/>
          <w:sz w:val="20"/>
          <w:shd w:fill="FFFFFF" w:val="clear"/>
        </w:rPr>
        <w:t xml:space="preserve">shares of common stock were outstanding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respectively.</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 the Company had reserved authorized shares of common stock for future issuance as follows:</w:t>
      </w:r>
    </w:p>
    <w:tbl>
      <w:tblPr>
        <w:tblW w:w="8123" w:type="dxa"/>
        <w:jc w:val="left"/>
        <w:tblInd w:w="0" w:type="dxa"/>
        <w:tblLayout w:type="fixed"/>
        <w:tblCellMar>
          <w:top w:w="28" w:type="dxa"/>
          <w:left w:w="28" w:type="dxa"/>
          <w:bottom w:w="28" w:type="dxa"/>
          <w:right w:w="28" w:type="dxa"/>
        </w:tblCellMar>
      </w:tblPr>
      <w:tblGrid>
        <w:gridCol w:w="1859"/>
        <w:gridCol w:w="1631"/>
        <w:gridCol w:w="1639"/>
        <w:gridCol w:w="109"/>
        <w:gridCol w:w="109"/>
        <w:gridCol w:w="109"/>
        <w:gridCol w:w="343"/>
        <w:gridCol w:w="343"/>
        <w:gridCol w:w="350"/>
        <w:gridCol w:w="109"/>
        <w:gridCol w:w="109"/>
        <w:gridCol w:w="109"/>
        <w:gridCol w:w="381"/>
        <w:gridCol w:w="381"/>
        <w:gridCol w:w="542"/>
      </w:tblGrid>
      <w:tr>
        <w:trPr/>
        <w:tc>
          <w:tcPr>
            <w:tcW w:w="185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awards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7,060,457</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4,024,157</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Possible future issuances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7,512,957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6,327,569</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Possible future issuances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1,011,962</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reserved for future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18,394,386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18,424,145</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Activity</w:t>
      </w:r>
    </w:p>
    <w:p>
      <w:pPr>
        <w:pStyle w:val="TextBody"/>
        <w:bidi w:val="0"/>
        <w:spacing w:lineRule="auto" w:line="288" w:before="0" w:after="240"/>
        <w:jc w:val="both"/>
        <w:rPr/>
      </w:pPr>
      <w:r>
        <w:rPr>
          <w:rFonts w:ascii="Times New Roman;serif" w:hAnsi="Times New Roman;serif"/>
          <w:b w:val="false"/>
          <w:color w:val="000000"/>
          <w:sz w:val="20"/>
        </w:rPr>
        <w:t>The following table summarizes common stock activity for t</w:t>
      </w:r>
      <w:r>
        <w:rPr>
          <w:rFonts w:ascii="Times New Roman;serif" w:hAnsi="Times New Roman;serif"/>
          <w:b w:val="false"/>
          <w:color w:val="000000"/>
          <w:sz w:val="20"/>
          <w:shd w:fill="FFFFFF" w:val="clear"/>
        </w:rPr>
        <w:t xml:space="preserve">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w:t>
      </w:r>
    </w:p>
    <w:tbl>
      <w:tblPr>
        <w:tblW w:w="8772" w:type="dxa"/>
        <w:jc w:val="left"/>
        <w:tblInd w:w="0" w:type="dxa"/>
        <w:tblLayout w:type="fixed"/>
        <w:tblCellMar>
          <w:top w:w="28" w:type="dxa"/>
          <w:left w:w="28" w:type="dxa"/>
          <w:bottom w:w="28" w:type="dxa"/>
          <w:right w:w="28" w:type="dxa"/>
        </w:tblCellMar>
      </w:tblPr>
      <w:tblGrid>
        <w:gridCol w:w="2239"/>
        <w:gridCol w:w="1963"/>
        <w:gridCol w:w="1978"/>
        <w:gridCol w:w="109"/>
        <w:gridCol w:w="109"/>
        <w:gridCol w:w="109"/>
        <w:gridCol w:w="662"/>
        <w:gridCol w:w="662"/>
        <w:gridCol w:w="941"/>
      </w:tblGrid>
      <w:tr>
        <w:trPr/>
        <w:tc>
          <w:tcPr>
            <w:tcW w:w="223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 of Common Stock</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56,854,781</w:t>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options exercised or RSUs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955,575</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warrants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1,304,494</w:t>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59,114,850</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stock options exercised or 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140,324</w:t>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as a result of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86,732</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59,341,906</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Authorized, Issued, and Outstanding Preferred Stock</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e Company h</w:t>
      </w:r>
      <w:r>
        <w:rPr>
          <w:rFonts w:ascii="Times New Roman;serif" w:hAnsi="Times New Roman;serif"/>
          <w:b w:val="false"/>
          <w:color w:val="000000"/>
          <w:sz w:val="20"/>
          <w:shd w:fill="FFFFFF" w:val="clear"/>
        </w:rPr>
        <w:t xml:space="preserve">ad </w:t>
      </w:r>
      <w:r>
        <w:rPr>
          <w:rFonts w:ascii="Times New Roman;serif" w:hAnsi="Times New Roman;serif"/>
          <w:b w:val="false"/>
          <w:color w:val="000000"/>
          <w:sz w:val="20"/>
        </w:rPr>
        <w:t>10,000,000</w:t>
      </w:r>
      <w:r>
        <w:rPr>
          <w:color w:val="000000"/>
          <w:shd w:fill="FFFFFF" w:val="clear"/>
        </w:rPr>
        <w:t xml:space="preserve"> </w:t>
      </w:r>
      <w:r>
        <w:rPr>
          <w:rFonts w:ascii="Times New Roman;serif" w:hAnsi="Times New Roman;serif"/>
          <w:b w:val="false"/>
          <w:color w:val="000000"/>
          <w:sz w:val="20"/>
          <w:shd w:fill="FFFFFF" w:val="clear"/>
        </w:rPr>
        <w:t xml:space="preserve">shares of authorized, unallocated preferred stock.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 no</w:t>
      </w:r>
      <w:r>
        <w:rPr>
          <w:color w:val="000000"/>
          <w:shd w:fill="FFFFFF" w:val="clear"/>
        </w:rPr>
        <w:t xml:space="preserve"> </w:t>
      </w:r>
      <w:r>
        <w:rPr>
          <w:rFonts w:ascii="Times New Roman;serif" w:hAnsi="Times New Roman;serif"/>
          <w:b w:val="false"/>
          <w:color w:val="000000"/>
          <w:sz w:val="20"/>
          <w:shd w:fill="FFFFFF" w:val="clear"/>
        </w:rPr>
        <w:t xml:space="preserve">shares of preferred stock </w:t>
      </w:r>
      <w:r>
        <w:rPr>
          <w:rFonts w:ascii="Times New Roman;serif" w:hAnsi="Times New Roman;serif"/>
          <w:b w:val="false"/>
          <w:color w:val="000000"/>
          <w:sz w:val="20"/>
        </w:rPr>
        <w:t>were designated, issued, or outstanding.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Warrants to Purchase Common Stock</w:t>
      </w:r>
    </w:p>
    <w:p>
      <w:pPr>
        <w:pStyle w:val="TextBody"/>
        <w:bidi w:val="0"/>
        <w:spacing w:lineRule="auto" w:line="288" w:before="0" w:after="240"/>
        <w:jc w:val="both"/>
        <w:rPr/>
      </w:pPr>
      <w:r>
        <w:rPr>
          <w:rFonts w:ascii="Times New Roman;serif" w:hAnsi="Times New Roman;serif"/>
          <w:b w:val="false"/>
          <w:color w:val="000000"/>
          <w:sz w:val="20"/>
        </w:rPr>
        <w:t>The Company has issued warrants to purchase common stock to various third parties, of which 2,529,379 remain outstanding as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an</w:t>
      </w:r>
      <w:r>
        <w:rPr>
          <w:rFonts w:ascii="Times New Roman;serif" w:hAnsi="Times New Roman;serif"/>
          <w:b w:val="false"/>
          <w:color w:val="000000"/>
          <w:sz w:val="20"/>
        </w:rPr>
        <w:t>d are im</w:t>
      </w:r>
      <w:r>
        <w:rPr>
          <w:rFonts w:ascii="Times New Roman;serif" w:hAnsi="Times New Roman;serif"/>
          <w:b w:val="false"/>
          <w:color w:val="000000"/>
          <w:sz w:val="20"/>
          <w:shd w:fill="FFFFFF" w:val="clear"/>
        </w:rPr>
        <w:t xml:space="preserve">mediately exercisable. These warrants qualify as participating securities under ASC Topic 260, </w:t>
      </w:r>
      <w:r>
        <w:rPr>
          <w:rFonts w:ascii="Times New Roman;serif" w:hAnsi="Times New Roman;serif"/>
          <w:b w:val="false"/>
          <w:i/>
          <w:color w:val="000000"/>
          <w:sz w:val="20"/>
          <w:shd w:fill="FFFFFF" w:val="clear"/>
        </w:rPr>
        <w:t>Earnings per Share</w:t>
      </w:r>
      <w:r>
        <w:rPr>
          <w:rFonts w:ascii="Times New Roman;serif" w:hAnsi="Times New Roman;serif"/>
          <w:b w:val="false"/>
          <w:color w:val="000000"/>
          <w:sz w:val="20"/>
          <w:shd w:fill="FFFFFF" w:val="clear"/>
        </w:rPr>
        <w:t xml:space="preserve">, and are treated as such in the </w:t>
      </w:r>
      <w:r>
        <w:rPr>
          <w:rFonts w:ascii="Times New Roman;serif" w:hAnsi="Times New Roman;serif"/>
          <w:b w:val="false"/>
          <w:color w:val="000000"/>
          <w:sz w:val="20"/>
        </w:rPr>
        <w:t>net income per share calculation (Note J)</w:t>
      </w:r>
      <w:r>
        <w:rPr>
          <w:rFonts w:ascii="Times New Roman;serif" w:hAnsi="Times New Roman;serif"/>
          <w:b w:val="false"/>
          <w:color w:val="000000"/>
          <w:sz w:val="20"/>
          <w:shd w:fill="FFFFFF" w:val="clear"/>
        </w:rPr>
        <w:t>. The Company may be required to redeem these warrants for a cash amount equal to the BSM value of the portion of the warrants to be redeemed.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While the warrants are outstanding (but unexercised), the warrant holders will participate in any dividend or other distribution of the Company’s assets to its common stockholders by way of return of capital or otherwise. As of June 30, 2026, 2,954,158 of the warrants had been exercised or expired. As of December 31, 2025, 1,459,380 warrants had been exercised.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The Company determined that its outstanding warrants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June 30, 2026, and December 31, 2025, the fair value of the liability associated with these warrants</w:t>
      </w:r>
      <w:r>
        <w:rPr>
          <w:color w:val="000000"/>
          <w:shd w:fill="FFFFFF" w:val="clear"/>
        </w:rPr>
        <w:t xml:space="preserve"> </w:t>
      </w:r>
      <w:r>
        <w:rPr>
          <w:rFonts w:ascii="Times New Roman;serif" w:hAnsi="Times New Roman;serif"/>
          <w:b w:val="false"/>
          <w:color w:val="000000"/>
          <w:sz w:val="20"/>
          <w:shd w:fill="FFFFFF" w:val="clear"/>
        </w:rPr>
        <w:t>w</w:t>
      </w:r>
      <w:r>
        <w:rPr>
          <w:rFonts w:ascii="Times New Roman;serif" w:hAnsi="Times New Roman;serif"/>
          <w:b w:val="false"/>
          <w:color w:val="000000"/>
          <w:sz w:val="20"/>
        </w:rPr>
        <w:t>as approximate</w:t>
      </w:r>
      <w:r>
        <w:rPr>
          <w:rFonts w:ascii="Times New Roman;serif" w:hAnsi="Times New Roman;serif"/>
          <w:b w:val="false"/>
          <w:color w:val="000000"/>
          <w:sz w:val="20"/>
          <w:shd w:fill="FFFFFF" w:val="clear"/>
        </w:rPr>
        <w:t xml:space="preserve">ly </w:t>
      </w:r>
      <w:r>
        <w:rPr>
          <w:rFonts w:ascii="Times New Roman;serif" w:hAnsi="Times New Roman;serif"/>
          <w:b w:val="false"/>
          <w:color w:val="000000"/>
          <w:sz w:val="20"/>
        </w:rPr>
        <w:t>$13.2 million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nd $9.6 million, respectively. The fair value adjustment related to these warrants for the three and six months ended June 30, 2026 was $6.4 million and $5.6 million of loss, </w:t>
      </w:r>
      <w:r>
        <w:rPr>
          <w:rFonts w:ascii="Times New Roman;serif" w:hAnsi="Times New Roman;serif"/>
          <w:b w:val="false"/>
          <w:color w:val="000000"/>
          <w:sz w:val="20"/>
          <w:shd w:fill="FFFFFF" w:val="clear"/>
        </w:rPr>
        <w:t>re</w:t>
      </w:r>
      <w:r>
        <w:rPr>
          <w:rFonts w:ascii="Times New Roman;serif" w:hAnsi="Times New Roman;serif"/>
          <w:b w:val="false"/>
          <w:color w:val="000000"/>
          <w:sz w:val="20"/>
        </w:rPr>
        <w:t>spectively. The fair value adjustment related to these warrants for the three and six months ended June 30, 2025 was $2.8 million of loss and $2.0 million of income,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    Stock-Based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was 14,353,902 as of June 30, 2026. The number of shares of common stock reserved for issuance under the A&amp;R 2014 Plan automatically increases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2026, the common stock reserved for issuance under the A&amp;R 2014 Plan automatically increased by 2,274,191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22,975 and 999,793 stock options were exercised, respectively. During the three and six months ended June 30, 2025, 186,480 and 1,075,505 stock options were exercised,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June 30, 2026, 574,770 shares have been issued under the ESPP.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2023, the Board approved the 2023 Employment Inducement Award Plan (as amended, the “2023 Plan”) to make equity awards to newly hired employees as a material inducement to employment in accordance with Nasdaq Rule 5635(c)(4). The maximum number of shares of common stock that may be issued under the 2023 Plan was 4,500,000 as of June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2025, the Board approved the Tenth Amended and Restated Non-Employee Director Compensation Policy (the “Non-Employee Director Compensation Policy”). The equity compensation granted pursuant to the Non-Employee Director Compensation Policy is granted under the A&amp;R 2014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recorded under the A&amp;R 2014 Plan, ESPP and 2023 Plan is included in the following line items in the accompanying unaudited condensed consolidated statements of operations (in thousands):</w:t>
      </w:r>
    </w:p>
    <w:tbl>
      <w:tblPr>
        <w:tblW w:w="9032" w:type="dxa"/>
        <w:jc w:val="left"/>
        <w:tblInd w:w="0" w:type="dxa"/>
        <w:tblLayout w:type="fixed"/>
        <w:tblCellMar>
          <w:top w:w="28" w:type="dxa"/>
          <w:left w:w="28" w:type="dxa"/>
          <w:bottom w:w="28" w:type="dxa"/>
          <w:right w:w="28" w:type="dxa"/>
        </w:tblCellMar>
      </w:tblPr>
      <w:tblGrid>
        <w:gridCol w:w="1251"/>
        <w:gridCol w:w="1096"/>
        <w:gridCol w:w="1102"/>
        <w:gridCol w:w="109"/>
        <w:gridCol w:w="109"/>
        <w:gridCol w:w="109"/>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was no stock-based compensation expense related to performance-based awards recognized during the three and six months ended June 30, 2026, and 2025, as the probability criteria was not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    Fair Value of Financial Instruments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pStyle w:val="TextBody"/>
        <w:bidi w:val="0"/>
        <w:spacing w:lineRule="auto" w:line="288" w:before="0" w:after="0"/>
        <w:ind w:left="0" w:right="0" w:hanging="576"/>
        <w:jc w:val="both"/>
        <w:rPr/>
      </w:pPr>
      <w:r>
        <w:rPr>
          <w:color w:val="000000"/>
        </w:rPr>
        <w:t>•</w:t>
      </w:r>
      <w:r>
        <w:rPr>
          <w:rFonts w:ascii="Times New Roman;serif" w:hAnsi="Times New Roman;serif"/>
          <w:b w:val="false"/>
          <w:color w:val="000000"/>
          <w:sz w:val="20"/>
        </w:rPr>
        <w:t xml:space="preserve">Level 1: Observable inputs that reflect quoted market prices (unadjusted) for identical assets or liabilities in active markets; </w:t>
      </w:r>
    </w:p>
    <w:p>
      <w:pPr>
        <w:pStyle w:val="TextBody"/>
        <w:bidi w:val="0"/>
        <w:spacing w:lineRule="auto" w:line="288" w:before="0" w:after="0"/>
        <w:ind w:left="0" w:right="0" w:hanging="576"/>
        <w:jc w:val="both"/>
        <w:rPr/>
      </w:pPr>
      <w:r>
        <w:rPr>
          <w:color w:val="000000"/>
        </w:rPr>
        <w:t>•</w:t>
      </w:r>
      <w:r>
        <w:rPr>
          <w:rFonts w:ascii="Times New Roman;serif" w:hAnsi="Times New Roman;serif"/>
          <w:b w:val="false"/>
          <w:color w:val="000000"/>
          <w:sz w:val="20"/>
        </w:rPr>
        <w:t>Level 2: Observable inputs other than quoted prices in active markets that are observable either directly or indirectly in the marketplace for identical or similar assets and liabilities;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Level 3: Unobservable inputs that are supported by little or no market data, which require the Company to develop its own assumptions.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carrying amounts of certain financial instruments, including cash and cash equivalents, accounts and other receivables, and accounts payable and accrued expenses approximate their respective fair values due to the short-term nature of such instruments.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240"/>
        <w:jc w:val="both"/>
        <w:rPr/>
      </w:pPr>
      <w:r>
        <w:rPr>
          <w:rFonts w:ascii="Times New Roman;serif" w:hAnsi="Times New Roman;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w:t>
      </w:r>
      <w:r>
        <w:rPr>
          <w:rFonts w:ascii="Times New Roman;serif" w:hAnsi="Times New Roman;serif"/>
          <w:b w:val="false"/>
          <w:color w:val="000000"/>
          <w:sz w:val="20"/>
          <w:shd w:fill="FFFFFF" w:val="clear"/>
        </w:rPr>
        <w:t xml:space="preserve">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(in tho</w:t>
      </w:r>
      <w:r>
        <w:rPr>
          <w:rFonts w:ascii="Times New Roman;serif" w:hAnsi="Times New Roman;serif"/>
          <w:b w:val="false"/>
          <w:color w:val="000000"/>
          <w:sz w:val="20"/>
        </w:rPr>
        <w:t>usands):</w:t>
      </w:r>
    </w:p>
    <w:tbl>
      <w:tblPr>
        <w:tblW w:w="10205" w:type="dxa"/>
        <w:jc w:val="left"/>
        <w:tblInd w:w="0" w:type="dxa"/>
        <w:tblLayout w:type="fixed"/>
        <w:tblCellMar>
          <w:top w:w="28" w:type="dxa"/>
          <w:left w:w="28" w:type="dxa"/>
          <w:bottom w:w="28" w:type="dxa"/>
          <w:right w:w="28" w:type="dxa"/>
        </w:tblCellMar>
      </w:tblPr>
      <w:tblGrid>
        <w:gridCol w:w="553"/>
        <w:gridCol w:w="475"/>
        <w:gridCol w:w="476"/>
        <w:gridCol w:w="109"/>
        <w:gridCol w:w="109"/>
        <w:gridCol w:w="109"/>
        <w:gridCol w:w="338"/>
        <w:gridCol w:w="1324"/>
        <w:gridCol w:w="174"/>
        <w:gridCol w:w="109"/>
        <w:gridCol w:w="109"/>
        <w:gridCol w:w="109"/>
        <w:gridCol w:w="363"/>
        <w:gridCol w:w="1244"/>
        <w:gridCol w:w="187"/>
        <w:gridCol w:w="109"/>
        <w:gridCol w:w="109"/>
        <w:gridCol w:w="109"/>
        <w:gridCol w:w="380"/>
        <w:gridCol w:w="1300"/>
        <w:gridCol w:w="198"/>
        <w:gridCol w:w="109"/>
        <w:gridCol w:w="109"/>
        <w:gridCol w:w="109"/>
        <w:gridCol w:w="278"/>
        <w:gridCol w:w="952"/>
        <w:gridCol w:w="655"/>
      </w:tblGrid>
      <w:tr>
        <w:trPr/>
        <w:tc>
          <w:tcPr>
            <w:tcW w:w="55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w:t>
              <w:br/>
              <w:t>Markets for Identical 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w:t>
              <w:br/>
              <w:t>Inputs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w:t>
              <w:br/>
              <w:t>Inputs (Level 3)</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65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14,565 </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114,858 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59,971 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54,887 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0"/>
        <w:gridCol w:w="462"/>
        <w:gridCol w:w="463"/>
        <w:gridCol w:w="109"/>
        <w:gridCol w:w="109"/>
        <w:gridCol w:w="109"/>
        <w:gridCol w:w="370"/>
        <w:gridCol w:w="1451"/>
        <w:gridCol w:w="191"/>
        <w:gridCol w:w="109"/>
        <w:gridCol w:w="109"/>
        <w:gridCol w:w="109"/>
        <w:gridCol w:w="353"/>
        <w:gridCol w:w="1208"/>
        <w:gridCol w:w="182"/>
        <w:gridCol w:w="109"/>
        <w:gridCol w:w="109"/>
        <w:gridCol w:w="109"/>
        <w:gridCol w:w="369"/>
        <w:gridCol w:w="1262"/>
        <w:gridCol w:w="192"/>
        <w:gridCol w:w="109"/>
        <w:gridCol w:w="109"/>
        <w:gridCol w:w="109"/>
        <w:gridCol w:w="274"/>
        <w:gridCol w:w="936"/>
        <w:gridCol w:w="644"/>
      </w:tblGrid>
      <w:tr>
        <w:trPr/>
        <w:tc>
          <w:tcPr>
            <w:tcW w:w="5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w:t>
              <w:br/>
              <w:t>Markets for Identical 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w:t>
              <w:br/>
              <w:t>Inputs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w:t>
              <w:br/>
              <w:t>Inputs (Level 3)</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64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176,484 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79,352 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jc w:val="both"/>
        <w:rPr/>
      </w:pPr>
      <w:r>
        <w:rPr>
          <w:rFonts w:ascii="Times New Roman;serif" w:hAnsi="Times New Roman;serif"/>
          <w:b w:val="false"/>
          <w:color w:val="000000"/>
          <w:sz w:val="20"/>
        </w:rPr>
        <w:t>The com</w:t>
      </w:r>
      <w:r>
        <w:rPr>
          <w:rFonts w:ascii="Times New Roman;serif" w:hAnsi="Times New Roman;serif"/>
          <w:b w:val="false"/>
          <w:color w:val="000000"/>
          <w:sz w:val="20"/>
          <w:shd w:fill="FFFFFF" w:val="clear"/>
        </w:rPr>
        <w:t>mon stock warrant li</w:t>
      </w:r>
      <w:r>
        <w:rPr>
          <w:rFonts w:ascii="Times New Roman;serif" w:hAnsi="Times New Roman;serif"/>
          <w:b w:val="false"/>
          <w:color w:val="000000"/>
          <w:sz w:val="20"/>
        </w:rPr>
        <w:t>abilities were recorded at fair value using the BSM option pricing model. The following assumptions were used in determining the fair value of the warrant liabilities valued using the BSM option pricing mode</w:t>
      </w:r>
      <w:r>
        <w:rPr>
          <w:rFonts w:ascii="Times New Roman;serif" w:hAnsi="Times New Roman;serif"/>
          <w:b w:val="false"/>
          <w:color w:val="000000"/>
          <w:sz w:val="20"/>
          <w:shd w:fill="FFFFFF" w:val="clear"/>
        </w:rPr>
        <w:t xml:space="preserve">l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December 31, 2025:</w:t>
      </w:r>
    </w:p>
    <w:tbl>
      <w:tblPr>
        <w:tblW w:w="6384" w:type="dxa"/>
        <w:jc w:val="left"/>
        <w:tblInd w:w="0" w:type="dxa"/>
        <w:tblLayout w:type="fixed"/>
        <w:tblCellMar>
          <w:top w:w="28" w:type="dxa"/>
          <w:left w:w="28" w:type="dxa"/>
          <w:bottom w:w="28" w:type="dxa"/>
          <w:right w:w="28" w:type="dxa"/>
        </w:tblCellMar>
      </w:tblPr>
      <w:tblGrid>
        <w:gridCol w:w="869"/>
        <w:gridCol w:w="763"/>
        <w:gridCol w:w="768"/>
        <w:gridCol w:w="109"/>
        <w:gridCol w:w="109"/>
        <w:gridCol w:w="109"/>
        <w:gridCol w:w="331"/>
        <w:gridCol w:w="803"/>
        <w:gridCol w:w="426"/>
        <w:gridCol w:w="109"/>
        <w:gridCol w:w="109"/>
        <w:gridCol w:w="109"/>
        <w:gridCol w:w="360"/>
        <w:gridCol w:w="871"/>
        <w:gridCol w:w="539"/>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3.93% - 4.06%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3.42% - 3.67%</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57.26% - 60.24%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57.28% - 66.70%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0.50 - 2.40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0.02 - 2.89</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The following table is a reconciliation for the common stock warrant liabilities measured at fair val</w:t>
      </w:r>
      <w:r>
        <w:rPr>
          <w:rFonts w:ascii="Times New Roman;serif" w:hAnsi="Times New Roman;serif"/>
          <w:b w:val="false"/>
          <w:color w:val="000000"/>
          <w:sz w:val="20"/>
          <w:shd w:fill="FFFFFF" w:val="clear"/>
        </w:rPr>
        <w:t>ue using Level 3 un</w:t>
      </w:r>
      <w:r>
        <w:rPr>
          <w:rFonts w:ascii="Times New Roman;serif" w:hAnsi="Times New Roman;serif"/>
          <w:b w:val="false"/>
          <w:color w:val="000000"/>
          <w:sz w:val="20"/>
        </w:rPr>
        <w:t>observable inputs (in thousands):</w:t>
      </w:r>
    </w:p>
    <w:tbl>
      <w:tblPr>
        <w:tblW w:w="5972" w:type="dxa"/>
        <w:jc w:val="left"/>
        <w:tblInd w:w="0" w:type="dxa"/>
        <w:tblLayout w:type="fixed"/>
        <w:tblCellMar>
          <w:top w:w="28" w:type="dxa"/>
          <w:left w:w="28" w:type="dxa"/>
          <w:bottom w:w="28" w:type="dxa"/>
          <w:right w:w="28" w:type="dxa"/>
        </w:tblCellMar>
      </w:tblPr>
      <w:tblGrid>
        <w:gridCol w:w="1651"/>
        <w:gridCol w:w="1449"/>
        <w:gridCol w:w="1459"/>
        <w:gridCol w:w="109"/>
        <w:gridCol w:w="109"/>
        <w:gridCol w:w="109"/>
        <w:gridCol w:w="211"/>
        <w:gridCol w:w="721"/>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 of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the changes in fair value of the warrant liab</w:t>
      </w:r>
      <w:r>
        <w:rPr>
          <w:rFonts w:ascii="Times New Roman;serif" w:hAnsi="Times New Roman;serif"/>
          <w:b w:val="false"/>
          <w:color w:val="000000"/>
          <w:sz w:val="20"/>
        </w:rPr>
        <w:t>ilities primarily resulted from</w:t>
      </w:r>
      <w:r>
        <w:rPr>
          <w:color w:val="000000"/>
          <w:shd w:fill="FFFFFF" w:val="clear"/>
        </w:rPr>
        <w:t xml:space="preserve"> </w:t>
      </w:r>
      <w:r>
        <w:rPr>
          <w:rFonts w:ascii="Times New Roman;serif" w:hAnsi="Times New Roman;serif"/>
          <w:b w:val="false"/>
          <w:color w:val="000000"/>
          <w:sz w:val="20"/>
          <w:shd w:fill="FFFFFF" w:val="clear"/>
        </w:rPr>
        <w:t>changes in the discount rate and volatility.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Contingent Consideration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Contingent consideration liabilities relate to the Company's liabilities arising in connection with the CVRs.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related to the contingent consideration liabilities for the CVRs (in thousands):</w:t>
      </w:r>
    </w:p>
    <w:tbl>
      <w:tblPr>
        <w:tblW w:w="7308" w:type="dxa"/>
        <w:jc w:val="left"/>
        <w:tblInd w:w="0" w:type="dxa"/>
        <w:tblLayout w:type="fixed"/>
        <w:tblCellMar>
          <w:top w:w="28" w:type="dxa"/>
          <w:left w:w="28" w:type="dxa"/>
          <w:bottom w:w="28" w:type="dxa"/>
          <w:right w:w="28" w:type="dxa"/>
        </w:tblCellMar>
      </w:tblPr>
      <w:tblGrid>
        <w:gridCol w:w="2173"/>
        <w:gridCol w:w="1907"/>
        <w:gridCol w:w="1920"/>
        <w:gridCol w:w="109"/>
        <w:gridCol w:w="109"/>
        <w:gridCol w:w="109"/>
        <w:gridCol w:w="211"/>
        <w:gridCol w:w="61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 of contingent consideration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For the six months ended June 30, 2026, the changes in fair value of contingent consideration primarily resulted from</w:t>
      </w:r>
      <w:r>
        <w:rPr>
          <w:color w:val="000000"/>
          <w:shd w:fill="FFFFFF" w:val="clear"/>
        </w:rPr>
        <w:t xml:space="preserve"> </w:t>
      </w:r>
      <w:r>
        <w:rPr>
          <w:rFonts w:ascii="Times New Roman;serif" w:hAnsi="Times New Roman;serif"/>
          <w:b w:val="false"/>
          <w:color w:val="000000"/>
          <w:sz w:val="20"/>
          <w:shd w:fill="FFFFFF" w:val="clear"/>
        </w:rPr>
        <w:t>changes in market data and revenue projections.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Embedded Derivative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fair value of the embedded derivative is classified as Level 3 in the fair value hierarchy and had no value at June 30, 2026 and December 31, 2025. The liability associated with the embedded derivative represented the fair value of the mandatory redemption provision in the Credit Agreement. During the six months ended June 30, 2026, all outstanding obligations under the Credit Agreement were paid off which represented a triggering event. The embedded derivative was then re-valued, and extinguished together with the debt (see Note 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was determined using a Black-Derman-Toy (“BDT”) binomial lattice model in conjunction with a discounted cash flow methodology. The valuation incorporates a discount rate derived from the risk-free rate, based on the US Treasury Daily Treasury Par Yield Curve. The quantitative information about the significant unobservable inputs used in the Level 3 fair value measurement for the embedded derivative includes a credit spread of 5.53%.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related to the embedded derivative (in thousands):</w:t>
      </w:r>
    </w:p>
    <w:tbl>
      <w:tblPr>
        <w:tblW w:w="6016" w:type="dxa"/>
        <w:jc w:val="left"/>
        <w:tblInd w:w="0" w:type="dxa"/>
        <w:tblLayout w:type="fixed"/>
        <w:tblCellMar>
          <w:top w:w="28" w:type="dxa"/>
          <w:left w:w="28" w:type="dxa"/>
          <w:bottom w:w="28" w:type="dxa"/>
          <w:right w:w="28" w:type="dxa"/>
        </w:tblCellMar>
      </w:tblPr>
      <w:tblGrid>
        <w:gridCol w:w="1755"/>
        <w:gridCol w:w="1540"/>
        <w:gridCol w:w="1550"/>
        <w:gridCol w:w="109"/>
        <w:gridCol w:w="109"/>
        <w:gridCol w:w="109"/>
        <w:gridCol w:w="235"/>
        <w:gridCol w:w="455"/>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measurement of embedded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changes in fair value of the embedded derivative resulted from a change in probability of a triggering event occurring.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J.    Net Income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two-class method requires earnings for the period to be allocated between common stock and participating securities based upon their respective rights to receive distributed and undistributed earnings. Under the two-class method, for periods with net income attributable to common stockholders, basic net income attributable to common stockholders per share of common stock is computed by dividing the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securities, presented on a common stock equivalent basis, have been excluded from the calculation of weighted-average number of shares of common stock outstanding because their effect is anti-dilutive:</w:t>
      </w:r>
    </w:p>
    <w:tbl>
      <w:tblPr>
        <w:tblW w:w="10205" w:type="dxa"/>
        <w:jc w:val="left"/>
        <w:tblInd w:w="0" w:type="dxa"/>
        <w:tblLayout w:type="fixed"/>
        <w:tblCellMar>
          <w:top w:w="28" w:type="dxa"/>
          <w:left w:w="28" w:type="dxa"/>
          <w:bottom w:w="28" w:type="dxa"/>
          <w:right w:w="28" w:type="dxa"/>
        </w:tblCellMar>
      </w:tblPr>
      <w:tblGrid>
        <w:gridCol w:w="1726"/>
        <w:gridCol w:w="1409"/>
        <w:gridCol w:w="1414"/>
        <w:gridCol w:w="109"/>
        <w:gridCol w:w="109"/>
        <w:gridCol w:w="109"/>
        <w:gridCol w:w="504"/>
        <w:gridCol w:w="254"/>
        <w:gridCol w:w="231"/>
        <w:gridCol w:w="182"/>
        <w:gridCol w:w="182"/>
        <w:gridCol w:w="182"/>
        <w:gridCol w:w="504"/>
        <w:gridCol w:w="254"/>
        <w:gridCol w:w="231"/>
        <w:gridCol w:w="109"/>
        <w:gridCol w:w="109"/>
        <w:gridCol w:w="109"/>
        <w:gridCol w:w="444"/>
        <w:gridCol w:w="293"/>
        <w:gridCol w:w="217"/>
        <w:gridCol w:w="168"/>
        <w:gridCol w:w="168"/>
        <w:gridCol w:w="168"/>
        <w:gridCol w:w="429"/>
        <w:gridCol w:w="283"/>
        <w:gridCol w:w="308"/>
      </w:tblGrid>
      <w:tr>
        <w:trPr/>
        <w:tc>
          <w:tcPr>
            <w:tcW w:w="172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Awards under equity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2,691,729</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2,691,729</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excluded from the calculation of 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2,691,729</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2,691,729</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2,740,278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reconciliation from net income to basic net income attributable to common stockholders per share of common stock and diluted net income attributable to common stockholders per share of common stock for the three and six months ended June 30, 2026, and 2025 is as follows (in thousands):</w:t>
      </w:r>
    </w:p>
    <w:tbl>
      <w:tblPr>
        <w:tblW w:w="10205" w:type="dxa"/>
        <w:jc w:val="left"/>
        <w:tblInd w:w="0" w:type="dxa"/>
        <w:tblLayout w:type="fixed"/>
        <w:tblCellMar>
          <w:top w:w="28" w:type="dxa"/>
          <w:left w:w="28" w:type="dxa"/>
          <w:bottom w:w="28" w:type="dxa"/>
          <w:right w:w="28" w:type="dxa"/>
        </w:tblCellMar>
      </w:tblPr>
      <w:tblGrid>
        <w:gridCol w:w="1865"/>
        <w:gridCol w:w="1376"/>
        <w:gridCol w:w="1386"/>
        <w:gridCol w:w="109"/>
        <w:gridCol w:w="109"/>
        <w:gridCol w:w="109"/>
        <w:gridCol w:w="225"/>
        <w:gridCol w:w="660"/>
        <w:gridCol w:w="116"/>
        <w:gridCol w:w="116"/>
        <w:gridCol w:w="116"/>
        <w:gridCol w:w="116"/>
        <w:gridCol w:w="225"/>
        <w:gridCol w:w="772"/>
        <w:gridCol w:w="116"/>
        <w:gridCol w:w="109"/>
        <w:gridCol w:w="109"/>
        <w:gridCol w:w="109"/>
        <w:gridCol w:w="211"/>
        <w:gridCol w:w="721"/>
        <w:gridCol w:w="109"/>
        <w:gridCol w:w="109"/>
        <w:gridCol w:w="109"/>
        <w:gridCol w:w="109"/>
        <w:gridCol w:w="211"/>
        <w:gridCol w:w="721"/>
        <w:gridCol w:w="162"/>
      </w:tblGrid>
      <w:tr>
        <w:trPr/>
        <w:tc>
          <w:tcPr>
            <w:tcW w:w="18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(6,552)</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8,393</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67,909</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65,056</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declared or accumulated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Undistributed net income attributable to shares of common stock,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8,393</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67,909</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65,056</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0.14</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Fair value adjustment income related to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shares of common stock,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8,393</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67,909</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65,056</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54,440 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stock options (as converted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61,337</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56,325</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60,786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56,062</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0.14</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w:t>
            </w: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    Leases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office space and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straight-line bases over the lease term. The Company’s leases have remaining lease terms of less than one year and up to approximately three years, and some which include options to terminate the leases within one year. In March 2026, we entered into a lease related to our corporate headquarters to provide us with additional office space, which commenced in June 2026.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lease expense were as follows (in thousands):</w:t>
      </w:r>
    </w:p>
    <w:tbl>
      <w:tblPr>
        <w:tblW w:w="7502" w:type="dxa"/>
        <w:jc w:val="left"/>
        <w:tblInd w:w="0" w:type="dxa"/>
        <w:tblLayout w:type="fixed"/>
        <w:tblCellMar>
          <w:top w:w="28" w:type="dxa"/>
          <w:left w:w="28" w:type="dxa"/>
          <w:bottom w:w="28" w:type="dxa"/>
          <w:right w:w="28" w:type="dxa"/>
        </w:tblCellMar>
      </w:tblPr>
      <w:tblGrid>
        <w:gridCol w:w="695"/>
        <w:gridCol w:w="610"/>
        <w:gridCol w:w="615"/>
        <w:gridCol w:w="109"/>
        <w:gridCol w:w="109"/>
        <w:gridCol w:w="109"/>
        <w:gridCol w:w="285"/>
        <w:gridCol w:w="629"/>
        <w:gridCol w:w="147"/>
        <w:gridCol w:w="147"/>
        <w:gridCol w:w="147"/>
        <w:gridCol w:w="147"/>
        <w:gridCol w:w="285"/>
        <w:gridCol w:w="629"/>
        <w:gridCol w:w="147"/>
        <w:gridCol w:w="109"/>
        <w:gridCol w:w="109"/>
        <w:gridCol w:w="109"/>
        <w:gridCol w:w="257"/>
        <w:gridCol w:w="568"/>
        <w:gridCol w:w="132"/>
        <w:gridCol w:w="132"/>
        <w:gridCol w:w="132"/>
        <w:gridCol w:w="132"/>
        <w:gridCol w:w="257"/>
        <w:gridCol w:w="568"/>
        <w:gridCol w:w="187"/>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8556"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22"/>
        <w:gridCol w:w="490"/>
        <w:gridCol w:w="114"/>
        <w:gridCol w:w="114"/>
        <w:gridCol w:w="114"/>
        <w:gridCol w:w="114"/>
        <w:gridCol w:w="222"/>
        <w:gridCol w:w="648"/>
        <w:gridCol w:w="327"/>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short-term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was as follows (in thousands, except weighted average remaining lease term and weighted average discount rate):</w:t>
      </w:r>
    </w:p>
    <w:tbl>
      <w:tblPr>
        <w:tblW w:w="6912" w:type="dxa"/>
        <w:jc w:val="left"/>
        <w:tblInd w:w="0" w:type="dxa"/>
        <w:tblLayout w:type="fixed"/>
        <w:tblCellMar>
          <w:top w:w="28" w:type="dxa"/>
          <w:left w:w="28" w:type="dxa"/>
          <w:bottom w:w="28" w:type="dxa"/>
          <w:right w:w="28" w:type="dxa"/>
        </w:tblCellMar>
      </w:tblPr>
      <w:tblGrid>
        <w:gridCol w:w="1396"/>
        <w:gridCol w:w="1226"/>
        <w:gridCol w:w="1233"/>
        <w:gridCol w:w="109"/>
        <w:gridCol w:w="109"/>
        <w:gridCol w:w="109"/>
        <w:gridCol w:w="211"/>
        <w:gridCol w:w="616"/>
        <w:gridCol w:w="271"/>
        <w:gridCol w:w="109"/>
        <w:gridCol w:w="109"/>
        <w:gridCol w:w="109"/>
        <w:gridCol w:w="241"/>
        <w:gridCol w:w="703"/>
        <w:gridCol w:w="361"/>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Maturities on lease liabilities were as follows (in thousands):</w:t>
      </w:r>
    </w:p>
    <w:tbl>
      <w:tblPr>
        <w:tblW w:w="5949" w:type="dxa"/>
        <w:jc w:val="left"/>
        <w:tblInd w:w="0" w:type="dxa"/>
        <w:tblLayout w:type="fixed"/>
        <w:tblCellMar>
          <w:top w:w="28" w:type="dxa"/>
          <w:left w:w="28" w:type="dxa"/>
          <w:bottom w:w="28" w:type="dxa"/>
          <w:right w:w="28" w:type="dxa"/>
        </w:tblCellMar>
      </w:tblPr>
      <w:tblGrid>
        <w:gridCol w:w="1622"/>
        <w:gridCol w:w="1429"/>
        <w:gridCol w:w="1433"/>
        <w:gridCol w:w="109"/>
        <w:gridCol w:w="109"/>
        <w:gridCol w:w="109"/>
        <w:gridCol w:w="211"/>
        <w:gridCol w:w="616"/>
        <w:gridCol w:w="31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future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    Goodwill &amp; Intangible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goodwill balance was $4.7 million as of June 30, 2026, and December 31, 2025.</w:t>
      </w:r>
    </w:p>
    <w:p>
      <w:pPr>
        <w:pStyle w:val="TextBody"/>
        <w:bidi w:val="0"/>
        <w:spacing w:lineRule="auto" w:line="288" w:before="0" w:after="240"/>
        <w:jc w:val="both"/>
        <w:rPr/>
      </w:pPr>
      <w:r>
        <w:rPr>
          <w:rFonts w:ascii="Times New Roman;serif" w:hAnsi="Times New Roman;serif"/>
          <w:b w:val="false"/>
          <w:color w:val="000000"/>
          <w:sz w:val="20"/>
        </w:rPr>
        <w:t xml:space="preserve">Prior to June 30, 2025, the Company had a definite-lived intangible asset, net related to the acquisition of OLPRUVA of $60.0 million, which was reviewed for impairment </w:t>
      </w:r>
      <w:r>
        <w:rPr>
          <w:rFonts w:ascii="Times New Roman;serif" w:hAnsi="Times New Roman;serif"/>
          <w:b w:val="false"/>
          <w:color w:val="000000"/>
          <w:sz w:val="20"/>
          <w:shd w:fill="FFFFFF" w:val="clear"/>
        </w:rPr>
        <w:t xml:space="preserve">whenever events or changes in circumstances indicated that their carrying amounts may not be recoverable. </w:t>
      </w:r>
    </w:p>
    <w:p>
      <w:pPr>
        <w:pStyle w:val="TextBody"/>
        <w:bidi w:val="0"/>
        <w:spacing w:lineRule="auto" w:line="288" w:before="0" w:after="240"/>
        <w:jc w:val="both"/>
        <w:rPr/>
      </w:pPr>
      <w:r>
        <w:rPr>
          <w:rFonts w:ascii="Times New Roman;serif" w:hAnsi="Times New Roman;serif"/>
          <w:b w:val="false"/>
          <w:color w:val="000000"/>
          <w:sz w:val="20"/>
          <w:shd w:fill="FFFFFF" w:val="clear"/>
        </w:rPr>
        <w:t>In the second quarter of 2025, t</w:t>
      </w:r>
      <w:r>
        <w:rPr>
          <w:rFonts w:ascii="Times New Roman;serif" w:hAnsi="Times New Roman;serif"/>
          <w:b w:val="false"/>
          <w:color w:val="000000"/>
          <w:sz w:val="20"/>
        </w:rPr>
        <w:t xml:space="preserve">he Company assessed the results of its refined commercial efforts related to OLPRUVA. This was determined to be a triggering event that could result in a decrease in future expected cash flows, and thus indicated the carrying amount of the OLPRUVA asset group may not be fully recoverable. The Company performed an undiscounted cash flow analysis over the OLPRUVA asset group and determined that the carrying value of the asset group was not recoverable. The Company then estimated the fair value of the asset group to measure the impairment loss for the period. The fair value measurement was based on Level 3 inputs including projected sales driven by market share and product sales price estimates, associated expenses, growth rates, and the discount rate used to measure the fair value of the net cash flows associated with this asset group. The Company recorded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intangible asset impairment charge in the second quarter of 2025, which resulted in reducing the OLPRUVA intangible asset value to zero.</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Prior to the impairment discussed above, the OLPRUVA definite-lived intangible asset was being amortized on a straight-line basis over the OLPRUVA patent life of 13 years. Amortization expense is recorded as intangible asset amortization in the unaudited condensed consolidated statements of operations and was $1.3 million and $2.6 million for the three and six months ended June 30, 2025, respectively.</w:t>
      </w:r>
    </w:p>
    <w:p>
      <w:pPr>
        <w:pStyle w:val="TextBody"/>
        <w:bidi w:val="0"/>
        <w:spacing w:lineRule="auto" w:line="288" w:before="0" w:after="240"/>
        <w:jc w:val="both"/>
        <w:rPr/>
      </w:pPr>
      <w:r>
        <w:rPr>
          <w:rFonts w:ascii="Times New Roman;serif" w:hAnsi="Times New Roman;serif"/>
          <w:b w:val="false"/>
          <w:color w:val="000000"/>
          <w:sz w:val="20"/>
        </w:rPr>
        <w:t xml:space="preserve">In connection with the XOMA License Agreement, a regulatory milestone payment of $6.0 million was due to XOMA upon approval of MIPLYFFA in the United States, which the Company paid in October 2024. </w:t>
      </w:r>
      <w:r>
        <w:rPr>
          <w:rFonts w:ascii="Times New Roman;serif" w:hAnsi="Times New Roman;serif"/>
          <w:b w:val="false"/>
          <w:color w:val="000000"/>
          <w:sz w:val="20"/>
          <w:shd w:fill="FFFFFF" w:val="clear"/>
        </w:rPr>
        <w:t xml:space="preserve">This definite-lived intangible asset is amortized on a straight-line basis </w:t>
      </w:r>
      <w:r>
        <w:rPr>
          <w:rFonts w:ascii="Times New Roman;serif" w:hAnsi="Times New Roman;serif"/>
          <w:b w:val="false"/>
          <w:color w:val="000000"/>
          <w:sz w:val="20"/>
        </w:rPr>
        <w:t>over the MIPLYFFA patent life of approximately five years a</w:t>
      </w:r>
      <w:r>
        <w:rPr>
          <w:rFonts w:ascii="Times New Roman;serif" w:hAnsi="Times New Roman;serif"/>
          <w:b w:val="false"/>
          <w:color w:val="000000"/>
          <w:sz w:val="20"/>
          <w:shd w:fill="FFFFFF" w:val="clear"/>
        </w:rPr>
        <w:t>nd is reviewed periodically for impairment. Amortization expense is recorded as intangible asset amortization in the unaudited condensed consolidated statements of operations and w</w:t>
      </w:r>
      <w:r>
        <w:rPr>
          <w:rFonts w:ascii="Times New Roman;serif" w:hAnsi="Times New Roman;serif"/>
          <w:b w:val="false"/>
          <w:color w:val="000000"/>
          <w:sz w:val="20"/>
        </w:rPr>
        <w:t xml:space="preserve">as $0.3 million for the three months ended June 30, 2026, and 2025, respectively. Amortization expense was $0.6 million for the </w:t>
      </w:r>
      <w:r>
        <w:rPr>
          <w:rFonts w:ascii="Times New Roman;serif" w:hAnsi="Times New Roman;serif"/>
          <w:b w:val="false"/>
          <w:color w:val="000000"/>
          <w:sz w:val="20"/>
          <w:shd w:fill="FFFFFF" w:val="clear"/>
        </w:rPr>
        <w:t>six months ended June 30, 2026, and 2025,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intangible assets subject to amortization, estimated amortization expense for the five fiscal years subsequent to June 30, 2026, is expected to be as follows (in thousands):</w:t>
      </w:r>
    </w:p>
    <w:tbl>
      <w:tblPr>
        <w:tblW w:w="5642" w:type="dxa"/>
        <w:jc w:val="left"/>
        <w:tblInd w:w="0" w:type="dxa"/>
        <w:tblLayout w:type="fixed"/>
        <w:tblCellMar>
          <w:top w:w="28" w:type="dxa"/>
          <w:left w:w="28" w:type="dxa"/>
          <w:bottom w:w="28" w:type="dxa"/>
          <w:right w:w="28" w:type="dxa"/>
        </w:tblCellMar>
      </w:tblPr>
      <w:tblGrid>
        <w:gridCol w:w="1623"/>
        <w:gridCol w:w="1426"/>
        <w:gridCol w:w="1435"/>
        <w:gridCol w:w="109"/>
        <w:gridCol w:w="109"/>
        <w:gridCol w:w="109"/>
        <w:gridCol w:w="211"/>
        <w:gridCol w:w="46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non-amortizable intangible assets include IPR&amp;D of $2.0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    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no accruals were made related to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    Subsequent Events</w:t>
      </w:r>
    </w:p>
    <w:p>
      <w:pPr>
        <w:pStyle w:val="TextBody"/>
        <w:bidi w:val="0"/>
        <w:spacing w:lineRule="auto" w:line="288" w:before="0" w:after="240"/>
        <w:jc w:val="both"/>
        <w:rPr/>
      </w:pPr>
      <w:r>
        <w:rPr>
          <w:rFonts w:ascii="Times New Roman;serif" w:hAnsi="Times New Roman;serif"/>
          <w:b w:val="false"/>
          <w:color w:val="000000"/>
          <w:sz w:val="20"/>
          <w:shd w:fill="FFFFFF" w:val="clear"/>
        </w:rPr>
        <w:t>The Company evaluated events and trans</w:t>
      </w:r>
      <w:r>
        <w:rPr>
          <w:rFonts w:ascii="Times New Roman;serif" w:hAnsi="Times New Roman;serif"/>
          <w:b w:val="false"/>
          <w:color w:val="000000"/>
          <w:sz w:val="20"/>
        </w:rPr>
        <w:t xml:space="preserve">actions occurring subsequent to June 30, 2026, through August 5, 2026, the date the accompanying unaudited condensed consolidated financial statements were issued.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this period, there were no subsequent events that required recognition in the accompanying unaudited condensed consolidated financial statements, nor were there any additional non-recognized subsequent events that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1980"/>
        <w:jc w:val="both"/>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88" w:before="0" w:after="240"/>
        <w:jc w:val="both"/>
        <w:rPr/>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w:t>
      </w:r>
      <w:r>
        <w:rPr>
          <w:rFonts w:ascii="Times New Roman;serif" w:hAnsi="Times New Roman;serif"/>
          <w:b w:val="false"/>
          <w:i/>
          <w:color w:val="000000"/>
          <w:sz w:val="20"/>
          <w:shd w:fill="FFFFFF" w:val="clear"/>
        </w:rPr>
        <w:t xml:space="preserve">including those factors set forth in Part II, Item 1A. “Risk Factors” of this Quarterly Report on Form 10-Q and Part I, Item 1A. “Risk Factors” of </w:t>
      </w:r>
      <w:r>
        <w:rPr>
          <w:rFonts w:ascii="Times New Roman;serif" w:hAnsi="Times New Roman;serif"/>
          <w:b w:val="false"/>
          <w:i/>
          <w:color w:val="000000"/>
          <w:sz w:val="20"/>
        </w:rPr>
        <w:t xml:space="preserve">our Annual Report on Form 10-K for the fiscal year ended December 31, 2025, filed with the SEC on March 9, 2026, as supplemented in </w:t>
      </w:r>
      <w:r>
        <w:rPr>
          <w:rFonts w:ascii="Times New Roman;serif" w:hAnsi="Times New Roman;serif"/>
          <w:b w:val="false"/>
          <w:i/>
          <w:color w:val="000000"/>
          <w:sz w:val="20"/>
          <w:shd w:fill="FFFFFF" w:val="clear"/>
        </w:rPr>
        <w:t>Part II, Item 1A. “Risk Factors” of our Quarterly Report on Form 10-Q</w:t>
      </w:r>
      <w:r>
        <w:rPr>
          <w:color w:val="000000"/>
        </w:rPr>
        <w:t xml:space="preserve"> </w:t>
      </w:r>
      <w:r>
        <w:rPr>
          <w:rFonts w:ascii="Times New Roman;serif" w:hAnsi="Times New Roman;serif"/>
          <w:b w:val="false"/>
          <w:i/>
          <w:color w:val="000000"/>
          <w:sz w:val="20"/>
        </w:rPr>
        <w:t>for the quarter ended March 31, 2026, filed with the SEC on May 6, 2026,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 commercial-stage company with a late-stage pipeline committed to redefining what is possible in bringing life-changing therapeutics to people living with rare diseases. We are focused on broadening access through geographic expansion opportunities, progressing our pipeline toward key milestones, and delivering meaningful therapeutics. Our vision is realized through disciplined execution of our strategic plan and our core values — patient centricity, integrity, accountability, innovation, and courage — which guide our efforts to deliver long-term value. The commercialization of our lead product, marketed in the United States for Niemann-Pick disease type C ("NPC"), a rare, progressive neurodegenerative disorder, provides a strong corporate foundation and demonstrates our ability to advance therapies from development to market.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2023, we changed our name to Zevra Therapeutics, Inc.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strategic plan is focused on transforming Zevra into a leading rare-disease company. We are prioritizing the commercialization and global expansion of our lead product, MIPLYFFA (arimoclomol), while OLPRUVA remains commercially available. We are also advancing the development of our clinical stage asset, celiprolol, and plan to further expand our pipeline through inorganic growth. We intend to become the preferred partner for assets that we believe will allow us to leverage the expertise and infrastructure that we have built to help mitigate risk and enhance our probability of success.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20, 2024, the U.S. Food and Drug Administration (“FDA”) approved the New Drug Application (“NDA”) for MIPLYFFA, for use in combination with miglustat for the treatment of neurological manifestations of NPC in adult and pediatric patients 2 years of age and older, and MIPLYFFA became commercially available for dispense in the United States in November 2024. In connection with this approval, we received a transferable rare pediatric disease priority review voucher (“PRV”). On April 1, 2025, we consummated the sale of the PRV, resulting in net proceeds of $148.3 million to us. Arimoclomol has also been granted orphan medicinal product designation for the treatment of NPC by the European Commission. We are pursuing regulatory approval of arimoclomol in Europe and filed a Marketing Authorization Application (“MAA”) with the European Medicines Agency (“EMA”) in July 2025. In July 2026, we announced that the Committee for Medicinal Products for Human Use (CHMP) of the European Medicines Agency (EMA) adopted a negative opinion regarding the MAA. Under European regulatory procedures, we have requested a re-examination of the CHMP opinion.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November 17, 2023, we completed the acquisition of Acer Therapeutics, Inc. (“Acer”), pursuant to which Acer became a wholly-owned subsidiary of Zevra. This included the acquisition of OLPRUVA (sodium phenylbutyrate) for oral suspension, which was approved by the FDA on December 27,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13, 2026, we entered into an Asset Purchase and Settlement Agreement (the “Commave Settlement Agreement”) with Commave Therapeutics SA (“Commave”) to sell all of our rights to certain assets relating to our SDX portfolio, including AZSTARYS and KP1077, to Commave and to resolve pending litigation related to claims arising under the Collaboration and License Agreement between the parties dated September 3, 2019, as amended (the “AZSTARYS License Agreement”). Under the Commave Settlement Agreement, the AZSTARYS License Agreement was terminated in its entirety.</w:t>
      </w:r>
    </w:p>
    <w:p>
      <w:pPr>
        <w:pStyle w:val="TextBody"/>
        <w:bidi w:val="0"/>
        <w:spacing w:lineRule="auto" w:line="288" w:before="0" w:after="240"/>
        <w:jc w:val="both"/>
        <w:rPr/>
      </w:pPr>
      <w:r>
        <w:rPr>
          <w:rFonts w:ascii="Times New Roman;serif" w:hAnsi="Times New Roman;serif"/>
          <w:b w:val="false"/>
          <w:color w:val="000000"/>
          <w:sz w:val="20"/>
        </w:rPr>
        <w:t xml:space="preserve">While we have recently had several quarters of positive net cash flows from operations, we previously had recurring negative net operating cash flows, and we cannot guarantee that we can continue to generate positive net cash flows from operations. Net cash provided by (used in) operating activities for the six months ended June 30, 2026, and 2025,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 xml:space="preserve">$23.2 million and $(11.8)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respectively. We expect to continue to incur significant expenses and minimal positive net cash flows from operations or negative net cash flows from operations for the near future, and those expenses and losses may fluctuate significantly from quarter-to-quarter and year-to-year. We anticipate that our expenses will fluctuate substantially as we: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continue building and maintaining our ongoing commercial capabilities to support the commercialization of our approved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continue clinical trials for celiprolol or initiate preclinical studies, clinical trials and product development activities for future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regulatory approvals for any product candidates that may successfully complete clinical trials;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to discover, license or acquire, and develop additional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adapt our regulatory compliance efforts to incorporate requirements applicable to marketed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 xml:space="preserve">maintain, expand and protect our intellectual property portfolio; </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incur additional legal, accounting and other expenses in operating as a public company;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add operational systems and personnel, if needed, to support any future commercialization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Our Product Candidates and Approved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current commercial products and active development assets are summarized in the table below:</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Active Zevra Commercial and Active Development Assets</w:t>
      </w:r>
    </w:p>
    <w:tbl>
      <w:tblPr>
        <w:tblW w:w="10205" w:type="dxa"/>
        <w:jc w:val="left"/>
        <w:tblInd w:w="0" w:type="dxa"/>
        <w:tblLayout w:type="fixed"/>
        <w:tblCellMar>
          <w:top w:w="28" w:type="dxa"/>
          <w:left w:w="28" w:type="dxa"/>
          <w:bottom w:w="28" w:type="dxa"/>
          <w:right w:w="28" w:type="dxa"/>
        </w:tblCellMar>
      </w:tblPr>
      <w:tblGrid>
        <w:gridCol w:w="613"/>
        <w:gridCol w:w="540"/>
        <w:gridCol w:w="524"/>
        <w:gridCol w:w="689"/>
        <w:gridCol w:w="689"/>
        <w:gridCol w:w="696"/>
        <w:gridCol w:w="527"/>
        <w:gridCol w:w="470"/>
        <w:gridCol w:w="472"/>
        <w:gridCol w:w="1548"/>
        <w:gridCol w:w="1452"/>
        <w:gridCol w:w="1985"/>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Parent Drug </w:t>
            </w:r>
          </w:p>
        </w:tc>
        <w:tc>
          <w:tcPr>
            <w:tcW w:w="207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Indication</w:t>
            </w:r>
          </w:p>
        </w:tc>
        <w:tc>
          <w:tcPr>
            <w:tcW w:w="1469"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Product / Candidate</w:t>
            </w:r>
          </w:p>
        </w:tc>
        <w:tc>
          <w:tcPr>
            <w:tcW w:w="4985"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Status and IP</w:t>
            </w:r>
          </w:p>
        </w:tc>
      </w:tr>
      <w:tr>
        <w:trPr/>
        <w:tc>
          <w:tcPr>
            <w:tcW w:w="167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Arimoclomol</w:t>
            </w:r>
          </w:p>
        </w:tc>
        <w:tc>
          <w:tcPr>
            <w:tcW w:w="207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Niemann-Pick disease type C (NPC)</w:t>
            </w:r>
          </w:p>
        </w:tc>
        <w:tc>
          <w:tcPr>
            <w:tcW w:w="1469"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MIPLYFFA</w:t>
            </w:r>
          </w:p>
        </w:tc>
        <w:tc>
          <w:tcPr>
            <w:tcW w:w="498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FDA Approval: Sep. 20, 2024; Orphan Drug Exclusivity (“ODE”) through 2031; IP through 2041</w:t>
            </w:r>
          </w:p>
        </w:tc>
      </w:tr>
      <w:tr>
        <w:trPr/>
        <w:tc>
          <w:tcPr>
            <w:tcW w:w="167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Arimoclomol</w:t>
            </w:r>
          </w:p>
        </w:tc>
        <w:tc>
          <w:tcPr>
            <w:tcW w:w="207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NPC</w:t>
            </w:r>
          </w:p>
        </w:tc>
        <w:tc>
          <w:tcPr>
            <w:tcW w:w="1469"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Arimoclomol</w:t>
            </w:r>
          </w:p>
        </w:tc>
        <w:tc>
          <w:tcPr>
            <w:tcW w:w="4985"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Global Expanded Access Program (“EAP”)</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Marketing Authorisation Application (“MAA”) for arimoclomol under review by EMA, Submitted July 28, 2025</w:t>
            </w:r>
          </w:p>
        </w:tc>
      </w:tr>
      <w:tr>
        <w:trPr/>
        <w:tc>
          <w:tcPr>
            <w:tcW w:w="167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Sodium phenylbutyrate</w:t>
            </w:r>
          </w:p>
        </w:tc>
        <w:tc>
          <w:tcPr>
            <w:tcW w:w="207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Urea Cycle</w:t>
              <w:br/>
              <w:t>Disorders (UCD)</w:t>
            </w:r>
          </w:p>
        </w:tc>
        <w:tc>
          <w:tcPr>
            <w:tcW w:w="1469"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OLPRUVA</w:t>
            </w:r>
          </w:p>
        </w:tc>
        <w:tc>
          <w:tcPr>
            <w:tcW w:w="4985"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FDA Approval: Dec. 22, 2022; IP through 2036</w:t>
            </w:r>
          </w:p>
        </w:tc>
      </w:tr>
      <w:tr>
        <w:trPr/>
        <w:tc>
          <w:tcPr>
            <w:tcW w:w="1677"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Celiprolol</w:t>
            </w:r>
          </w:p>
        </w:tc>
        <w:tc>
          <w:tcPr>
            <w:tcW w:w="207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Vascular Ehlers</w:t>
              <w:br/>
              <w:t>Danlos Syndrome (VEDS)</w:t>
            </w:r>
          </w:p>
        </w:tc>
        <w:tc>
          <w:tcPr>
            <w:tcW w:w="1469"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Celiprolol</w:t>
            </w:r>
          </w:p>
        </w:tc>
        <w:tc>
          <w:tcPr>
            <w:tcW w:w="4985"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Clinical - Phase 3 trial ongoing; IP potential through 2038</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NPC is an ultra-rare and progressive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2,000 individuals with NPC in the United States and Europe combined, of which approximately 900 are in the United States and 1,100 are in Europe, where there is a mature market with an approved treatment available for NPC. Of this estimated population, approximately 300 to 350 people have been diagnosed in the United States. NPC is clinically heterogenous, with significant variability in symptom presentation and rate of progression. Although it has traditionally been considered a pediatric disease due to its genetic origins, nearly half of the people treated with MIPLYFFA are adults. Low diagnostic rates may affect the number of potential patients, and we believe that the availability of treatment options in the United States could increase awareness of the disease and assist in more accurately identifying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20, 2024, the FDA approved the NDA for MIPLYFFA, an orally-delivered treatment, for NPC.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April 1, 2025, we completed the sale of the PRV and received net proceeds of $148.3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Effective therapies to treat NPC are desperately needed, and, for this reason, arimoclomol is currently being made available to NPC patients in France, Germany, and other EU member states, along with select territories outside of Europe under our global EAP. Arimoclomol has also been granted orphan medicinal product designation for the treatment of NPC by the European Commission. In July 2025, we filed an MAA. In July 2026, we announced that the CHMP of the EMA adopted a negative opinion regarding the MAA. We have requested a re-examination of the CHMP opinion.</w:t>
      </w:r>
    </w:p>
    <w:p>
      <w:pPr>
        <w:pStyle w:val="TextBody"/>
        <w:bidi w:val="0"/>
        <w:spacing w:lineRule="auto" w:line="288" w:before="0" w:after="240"/>
        <w:jc w:val="both"/>
        <w:rPr/>
      </w:pPr>
      <w:r>
        <w:rPr>
          <w:rFonts w:ascii="Times New Roman;serif" w:hAnsi="Times New Roman;serif"/>
          <w:b w:val="false"/>
          <w:color w:val="000000"/>
          <w:sz w:val="20"/>
        </w:rPr>
        <w:t xml:space="preserve">In June 2026, Zevra published positive results of an open-label pediatric substudy in the peer reviewed journal </w:t>
      </w:r>
      <w:r>
        <w:rPr>
          <w:rFonts w:ascii="Times New Roman;serif" w:hAnsi="Times New Roman;serif"/>
          <w:b w:val="false"/>
          <w:i/>
          <w:color w:val="000000"/>
          <w:sz w:val="20"/>
        </w:rPr>
        <w:t xml:space="preserve">Molecular Genetics and Metabolism Reports. </w:t>
      </w:r>
      <w:r>
        <w:rPr>
          <w:rFonts w:ascii="Times New Roman;serif" w:hAnsi="Times New Roman;serif"/>
          <w:b w:val="false"/>
          <w:color w:val="000000"/>
          <w:sz w:val="20"/>
        </w:rPr>
        <w:t xml:space="preserve">This multicenter substudy evaluated arimoclomol, in addition to concomitant miglustat, in five children with NPC aged 12 to &lt;24 months at enrollment over up to 36 months of treatment. Arimoclomol was generally well tolerated, with no new safety signals, and pharmacokinetic results were consistent with older pediatric populations. Developmental assessments showed variable delays, reflecting underlying phenotypic heterogeneity. Although limited by small sample size, the study provides preliminary evidence supporting initiation of MIPLYFFA in this age group. </w:t>
      </w:r>
    </w:p>
    <w:p>
      <w:pPr>
        <w:pStyle w:val="TextBody"/>
        <w:bidi w:val="0"/>
        <w:spacing w:lineRule="auto" w:line="288" w:before="0" w:after="240"/>
        <w:jc w:val="both"/>
        <w:rPr/>
      </w:pPr>
      <w:r>
        <w:rPr>
          <w:rFonts w:ascii="Times New Roman;serif" w:hAnsi="Times New Roman;serif"/>
          <w:b w:val="false"/>
          <w:color w:val="000000"/>
          <w:sz w:val="20"/>
        </w:rPr>
        <w:t>As of June 30, 2026</w:t>
      </w:r>
      <w:r>
        <w:rPr>
          <w:rFonts w:ascii="Times New Roman;serif" w:hAnsi="Times New Roman;serif"/>
          <w:b w:val="false"/>
          <w:color w:val="000000"/>
          <w:sz w:val="20"/>
          <w:shd w:fill="FFFFFF" w:val="clear"/>
        </w:rPr>
        <w:t xml:space="preserve">, there were a total </w:t>
      </w:r>
      <w:r>
        <w:rPr>
          <w:rFonts w:ascii="Times New Roman;serif" w:hAnsi="Times New Roman;serif"/>
          <w:b w:val="false"/>
          <w:color w:val="000000"/>
          <w:sz w:val="20"/>
        </w:rPr>
        <w:t>of 184 enrollments to receive MIPLYFFA. For MIPLYFFA, an enrollment is a prescription submitted to our specialty pharmacy, initiating the benefits investigation process to determine reimbursement and can lead to a 30-day paid dispense of MIPLYFFA. Our commercial plans focus on raising awareness among people who are living with NPC that are diagnosed and untreated, or undiagnosed.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commercialize MIPLYFFA in the United States, we have built in-house capabilities, and have arrangements with third parties, to perform, marketing, sales, medical affairs, distribution, managerial and other non-technical capabilities. Zevra holds global rights to develop and commercialize 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MIPLYFFA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Demonstrated halting of disease progression.</w:t>
      </w:r>
      <w:r>
        <w:rPr>
          <w:color w:val="000000"/>
        </w:rPr>
        <w:t xml:space="preserve"> </w:t>
      </w:r>
      <w:r>
        <w:rPr>
          <w:rFonts w:ascii="Times New Roman;serif" w:hAnsi="Times New Roman;serif"/>
          <w:b w:val="false"/>
          <w:color w:val="000000"/>
          <w:sz w:val="20"/>
        </w:rPr>
        <w:t xml:space="preserve">MIPLYFFA in combination with miglustat demonstrated a clinically significant improvement compared to placebo as early as 12 weeks and a halting of progression of the disease through 12 months of treatment. Data from the 48-month Open Label Extension study confirms the effectiveness of MIPLYFFA in slowing disease progression over multiple years. </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Ease of flexible administration as an oral treatment.</w:t>
      </w:r>
      <w:r>
        <w:rPr>
          <w:color w:val="000000"/>
        </w:rPr>
        <w:t xml:space="preserve"> </w:t>
      </w:r>
      <w:r>
        <w:rPr>
          <w:rFonts w:ascii="Times New Roman;serif" w:hAnsi="Times New Roman;serif"/>
          <w:b w:val="false"/>
          <w:color w:val="000000"/>
          <w:sz w:val="20"/>
        </w:rPr>
        <w:t xml:space="preserve">MIPLYFFA is administered as an oral capsule that can be swallowed whole, opened and contents mixed with foods or liquids, or delivered through a feeding tube. </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Extensive clinical experience with favorable safety data.</w:t>
      </w:r>
      <w:r>
        <w:rPr>
          <w:color w:val="000000"/>
        </w:rPr>
        <w:t xml:space="preserve"> </w:t>
      </w:r>
      <w:r>
        <w:rPr>
          <w:rFonts w:ascii="Times New Roman;serif" w:hAnsi="Times New Roman;serif"/>
          <w:b w:val="false"/>
          <w:color w:val="000000"/>
          <w:sz w:val="20"/>
        </w:rPr>
        <w:t>Over 600 patients have been treated with arimoclomol across various clinical trials and indications as well as through our global EAP, with limited safety findings. Further, in a pediatric sub-study of patients aged 6-24 months, arimoclomol was well tolerated following at least 12 months of treatment with no new safety concerns observed.</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Advantageous regulatory designations.</w:t>
      </w:r>
      <w:r>
        <w:rPr>
          <w:color w:val="000000"/>
        </w:rPr>
        <w:t xml:space="preserve"> </w:t>
      </w:r>
      <w:r>
        <w:rPr>
          <w:rFonts w:ascii="Times New Roman;serif" w:hAnsi="Times New Roman;serif"/>
          <w:b w:val="false"/>
          <w:color w:val="000000"/>
          <w:sz w:val="20"/>
        </w:rPr>
        <w:t>Arimoclomol has been granted orphan medicinal product designation for the treatment of NPC by the European Commission.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OLPRUVA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United States. While there are therapies currently approved for the treatment of UCDs, we believe that OLPRUVA offers benefits over other UCD treatments by eliminating issues with palatability, offering improved portability with its single-dose envelopes, and being provided in a dosage personalized to the patient based on weight.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OLPRUVA (sodium phenylbutyrate) for oral suspension is approved in the United States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dissolution of the coating for up to five minutes after preparation to help minimize the unpleasant taste of the sodium phenylbutyrate powder.</w:t>
      </w:r>
    </w:p>
    <w:p>
      <w:pPr>
        <w:pStyle w:val="TextBody"/>
        <w:bidi w:val="0"/>
        <w:spacing w:lineRule="auto" w:line="288" w:before="0" w:after="240"/>
        <w:jc w:val="both"/>
        <w:rPr/>
      </w:pPr>
      <w:r>
        <w:rPr>
          <w:rFonts w:ascii="Times New Roman;serif" w:hAnsi="Times New Roman;serif"/>
          <w:b w:val="false"/>
          <w:color w:val="000000"/>
          <w:sz w:val="20"/>
        </w:rPr>
        <w:t xml:space="preserve">In the fourth quarter of 2023, we began generating revenue from the sale of OLPRUVA in the United States. Zevra has a partnership with Relief Therapeutics SA </w:t>
      </w:r>
      <w:r>
        <w:rPr>
          <w:rFonts w:ascii="Times New Roman;serif" w:hAnsi="Times New Roman;serif"/>
          <w:b w:val="false"/>
          <w:color w:val="000000"/>
          <w:sz w:val="20"/>
          <w:shd w:fill="FFFFFF" w:val="clear"/>
        </w:rPr>
        <w:t>(“Relief”)</w:t>
      </w:r>
      <w:r>
        <w:rPr>
          <w:rFonts w:ascii="Times New Roman;serif" w:hAnsi="Times New Roman;serif"/>
          <w:b w:val="false"/>
          <w:color w:val="000000"/>
          <w:sz w:val="20"/>
        </w:rPr>
        <w:t>, which has rights to commercialize OLPRUVA in various European countries, if approved. For the three and six months ended June 30, 2026, we had $0.2 million and $0.5 million in revenue, respectively, from sales of OLPRUVA. We have made the decision to scale back our sales and marketing efforts for OLPRUVA as we evaluate the path forward and weigh strategic alternatives.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OLPRUVA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OLPRUVA is available in the U.S. for the treatment of certain types of UCDs.</w:t>
      </w:r>
      <w:r>
        <w:rPr>
          <w:color w:val="000000"/>
        </w:rPr>
        <w:t xml:space="preserve"> </w:t>
      </w:r>
      <w:r>
        <w:rPr>
          <w:rFonts w:ascii="Times New Roman;serif" w:hAnsi="Times New Roman;serif"/>
          <w:b w:val="false"/>
          <w:color w:val="000000"/>
          <w:sz w:val="20"/>
        </w:rPr>
        <w:t>OLPRUVA is an adjunctive therapy for the chronic management of adults and children weighing 20kg or greater with UCD from deficiencies of CPS, OTC, or AS.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OLPRUVA is differentiated from currently available forms of phenylbutyrate.</w:t>
      </w:r>
      <w:r>
        <w:rPr>
          <w:color w:val="000000"/>
        </w:rPr>
        <w:t xml:space="preserve"> </w:t>
      </w:r>
      <w:r>
        <w:rPr>
          <w:rFonts w:ascii="Times New Roman;serif" w:hAnsi="Times New Roman;serif"/>
          <w:b w:val="false"/>
          <w:color w:val="000000"/>
          <w:sz w:val="20"/>
        </w:rPr>
        <w:t>OLPRUVA is formulated to improve palatability while providing patients with a portable and discrete pre-measured dose.</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 xml:space="preserve">Currently evaluating strategic alternatives. </w:t>
      </w:r>
      <w:r>
        <w:rPr>
          <w:rFonts w:ascii="Times New Roman;serif" w:hAnsi="Times New Roman;serif"/>
          <w:b w:val="false"/>
          <w:color w:val="000000"/>
          <w:sz w:val="20"/>
        </w:rPr>
        <w:t>We have had limited success in commercializing OLPRUVA in the United States, and we are currently evaluating the path forward and weighing strategic alternatives.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Celiprolol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Ehlers-Danlos Syndrome (EDS) is a rare inherited disorder caused by mutations in the genes responsible for the structure, production, or processing of collagen, an important component of the connective tissues in the human body, or proteins that interact with collagen. Vascular Ehlers-Danlos Syndrome (VEDS) is the most severe of the 13 types of EDS and causes abnormal fragility in large to medium sized arteries and hollow organs, such as the uterus and colon. This fragility can result in aneurysms, abnormal connections between blood vessels known as arteriovenous fistulas, arterial dissections, and spontaneous vascular and organ ruptures, all of which can be potentially life-threatening. The incidence of VEDS is estimated to be one in 50,000 to 200,000 people. There are approximately 7,500 patients in the United States.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advancing celiprolol as an investigational product candidate for the treatment of VEDS in patients with a confirmed type III collagen (COL3A1) mutation. Celiprolol is a selective adrenoceptor modulator (“SAM”) that would qualify as a new chemical entity (“NCE”) if approved in the United States. Celiprolol is currently approved in certain EU states for the treatment of hypertension and angina.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thus, a pharmacologic intervention that reduces the rate of events would be clinically meaningful.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complete response letter (“CRL”) from the FDA stating that it will be necessary to conduct an adequate and well-controlled trial to determine whether celiprolol reduces the risk of clinical events in patients with VEDS. Subsequently, Acer appealed the FDA decision. While the FDA denied the appeal, it described possible paths forward toward approval. In a May 2021 Type B meeting with the FDA, Acer discussed the conduct of a U.S.-based prospective, randomized, double-blind, placebo-controlled, decentralized clinical trial in patients with COL3A1 positive VEDS and sought the FDA’s opinion on various proposed design features of the study.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 FDA's feedback during the Type B meeting, Acer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in the United States for the treatment of patients with COL3A1-positive VEDS.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and the trial has 66 enrolled participants as of June 30, 2026. We believe that celiprolol could address significant unmet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needs, as there are currently no approved treatments for VEDS in the U.S. W</w:t>
      </w:r>
      <w:r>
        <w:rPr>
          <w:rFonts w:ascii="Times New Roman;serif" w:hAnsi="Times New Roman;serif"/>
          <w:b w:val="false"/>
          <w:color w:val="000000"/>
          <w:sz w:val="20"/>
          <w:shd w:fill="FFFFFF" w:val="clear"/>
        </w:rPr>
        <w:t>e have implemented a broad recruitment drive focusing on collaborating with medical clinics where most patients are being managed. In parallel, we actively engaged the FDA in a Type C meeting in the first quarter of 2026 to discuss regulatory options to potentially accelerate the development program and plan to continue the dialogue with regulators going forward with a follow-up meeting in the second half of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Celiprolol summary:</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Currently, no approved treatments for VEDS in the United States.</w:t>
      </w:r>
      <w:r>
        <w:rPr>
          <w:color w:val="000000"/>
        </w:rPr>
        <w:t xml:space="preserve"> </w:t>
      </w:r>
      <w:r>
        <w:rPr>
          <w:rFonts w:ascii="Times New Roman;serif" w:hAnsi="Times New Roman;serif"/>
          <w:b w:val="false"/>
          <w:color w:val="000000"/>
          <w:sz w:val="20"/>
        </w:rPr>
        <w:t>There are currently no approved treatments for VEDS in the United States, and we believe that celiprolol, if approved, could be a significant innovation in the treatment of VEDS where current treatment options are focused primarily on surgical intervention.</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Unique pharmacological profile.</w:t>
      </w:r>
      <w:r>
        <w:rPr>
          <w:color w:val="000000"/>
        </w:rPr>
        <w:t xml:space="preserve"> </w:t>
      </w:r>
      <w:r>
        <w:rPr>
          <w:rFonts w:ascii="Times New Roman;serif" w:hAnsi="Times New Roman;serif"/>
          <w:b w:val="false"/>
          <w:color w:val="000000"/>
          <w:sz w:val="20"/>
        </w:rPr>
        <w:t>Mechanism of action in VEDS patients is thought to be through vascular dilatation and smooth muscle relaxation, the effect of which is to reduce the mechanical stress on collagen fibers in the arterial wall, potentially resulting in less incidence of vascular and hollow organ ruptures.</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Evidence of efficacy in Europe and extensive clinical experience from multiple trials.</w:t>
      </w:r>
      <w:r>
        <w:rPr>
          <w:color w:val="000000"/>
        </w:rPr>
        <w:t xml:space="preserve"> </w:t>
      </w:r>
      <w:r>
        <w:rPr>
          <w:rFonts w:ascii="Times New Roman;serif" w:hAnsi="Times New Roman;serif"/>
          <w:b w:val="false"/>
          <w:color w:val="000000"/>
          <w:sz w:val="20"/>
        </w:rPr>
        <w:t>Celiprolol has become the primary treatment for VEDS patients in several European countries. BBEST Clinical Trial data showed 76% reduction in risk of arterial events observed in COLA3A1+ subpopulation, with additional data from a long-term observational study in France.</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Regulatory designations.</w:t>
      </w:r>
      <w:r>
        <w:rPr>
          <w:color w:val="000000"/>
        </w:rPr>
        <w:t xml:space="preserve"> </w:t>
      </w:r>
      <w:r>
        <w:rPr>
          <w:rFonts w:ascii="Times New Roman;serif" w:hAnsi="Times New Roman;serif"/>
          <w:b w:val="false"/>
          <w:color w:val="000000"/>
          <w:sz w:val="20"/>
        </w:rPr>
        <w:t>Celiprolol for VEDS has been granted Orphan Drug designation and Breakthrough Therapy designation and, we believe, would be deemed an NCE in the United States if approved before any other celiprolol product.</w:t>
      </w:r>
    </w:p>
    <w:p>
      <w:pPr>
        <w:pStyle w:val="TextBody"/>
        <w:bidi w:val="0"/>
        <w:spacing w:lineRule="auto" w:line="288" w:before="0" w:after="240"/>
        <w:ind w:left="0" w:right="0" w:hanging="576"/>
        <w:jc w:val="both"/>
        <w:rPr/>
      </w:pPr>
      <w:r>
        <w:rPr>
          <w:color w:val="000000"/>
        </w:rPr>
        <w:t>•</w:t>
      </w:r>
      <w:r>
        <w:rPr>
          <w:rFonts w:ascii="Times New Roman;serif" w:hAnsi="Times New Roman;serif"/>
          <w:b/>
          <w:i/>
          <w:color w:val="000000"/>
          <w:sz w:val="20"/>
        </w:rPr>
        <w:t>Solid patent protection through 2038.</w:t>
      </w:r>
      <w:r>
        <w:rPr>
          <w:color w:val="000000"/>
        </w:rPr>
        <w:t xml:space="preserve"> </w:t>
      </w:r>
      <w:r>
        <w:rPr>
          <w:rFonts w:ascii="Times New Roman;serif" w:hAnsi="Times New Roman;serif"/>
          <w:b w:val="false"/>
          <w:color w:val="000000"/>
          <w:sz w:val="20"/>
        </w:rPr>
        <w:t>Celiprolol is generally protected by U.S. patents that will expire, after utilizing all appropriate patent term adjustments but excluding possible term extensions, in 2038.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XOMA License Agreement (MIPLYFFA)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2022, we purchased all the assets and operations of Orphazyme A/S (“Orphazyme”) related to arimoclomol. Prior to this acquisition,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 and a $5.0 million sales milestone payment upon annual sales of $100.0 million. XOMA was acquired by Ligand Pharmaceuticals in July 2026.</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Relief Termination Agreement and Relief License Agreement (OLPRUVA)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our acquisition of Acer, Acer and Relief entered into a termination agreement on August 28, 2023 (the “Relief Termination Agreement”). Pursuant to the Relief Termination Agreement, we are obligated to pay royalties of 10% of U.S. net sales of OLPRUVA up to a maximum of $45.0 million, plus specified regulatory milestones, for total payments to Relief of up to $56.5 million. On April 10, 2025, Relief sold the rights to this royalty to Soleus Capital Management L.P., and in December 2025, Relief merged with NeuroX Group SA, and the combined company now operates as MindMaze Therapeutics Holding SA.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Acer and Relief also entered into an exclusive license agreement on August 28, 2023 (the “Relief License Agreement”). Pursuant to the Relief License Agreement, Relief holds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196"/>
        <w:gridCol w:w="1852"/>
        <w:gridCol w:w="1839"/>
        <w:gridCol w:w="109"/>
        <w:gridCol w:w="109"/>
        <w:gridCol w:w="109"/>
        <w:gridCol w:w="215"/>
        <w:gridCol w:w="737"/>
        <w:gridCol w:w="111"/>
        <w:gridCol w:w="111"/>
        <w:gridCol w:w="111"/>
        <w:gridCol w:w="111"/>
        <w:gridCol w:w="215"/>
        <w:gridCol w:w="737"/>
        <w:gridCol w:w="111"/>
        <w:gridCol w:w="109"/>
        <w:gridCol w:w="109"/>
        <w:gridCol w:w="109"/>
        <w:gridCol w:w="233"/>
        <w:gridCol w:w="796"/>
        <w:gridCol w:w="176"/>
      </w:tblGrid>
      <w:tr>
        <w:trPr/>
        <w:tc>
          <w:tcPr>
            <w:tcW w:w="219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Period-to-</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$316 and $1,616 in intangible asset amortization for the three months ended June 30, 2026, and 2025,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(10,854)</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87,816</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(5,661)</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(151,928)</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(64,112)</w:t>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(65,955)</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June 30, 2026, was $8.8 million, compared to a net income of $74.7 million for the three months ended June 30, 2025, a decrease to net income of $66.0 million. The decrease was primarily attributable to a gain on sale of PRV of $148.3 million in the second quarter of 2025, an increase in interest and other income, net, of $0.2 million, a decrease in fair value adjustment related to warrant and CVR liability of $5.7 million, a decrease in impairment of intangible assets of $58.7 million, and a decrease in the write-down of unsaleable inventory of $11.7 million, partially offset by an increase of $13.8 million in revenue, and a decrease in tax benefit of $1.8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 net</w:t>
      </w:r>
    </w:p>
    <w:p>
      <w:pPr>
        <w:pStyle w:val="TextBody"/>
        <w:bidi w:val="0"/>
        <w:spacing w:lineRule="auto" w:line="288" w:before="0" w:after="240"/>
        <w:jc w:val="both"/>
        <w:rPr/>
      </w:pPr>
      <w:r>
        <w:rPr>
          <w:rFonts w:ascii="Times New Roman;serif" w:hAnsi="Times New Roman;serif"/>
          <w:b w:val="false"/>
          <w:color w:val="000000"/>
          <w:sz w:val="20"/>
          <w:shd w:fill="FFFFFF" w:val="clear"/>
        </w:rPr>
        <w:t>Revenue for the t</w:t>
      </w:r>
      <w:r>
        <w:rPr>
          <w:rFonts w:ascii="Times New Roman;serif" w:hAnsi="Times New Roman;serif"/>
          <w:b w:val="false"/>
          <w:color w:val="000000"/>
          <w:sz w:val="20"/>
        </w:rPr>
        <w:t>hree months ended June 30, 2026, was $39.7 million, compared to revenue of $25.9 million for the three months ended June 30, 2025, an increase of $13.8 million. The increase was primarily attributable to an increase in revenues under the global EAP of $6.4 million and an increase in product sales of MIPLYFFA of $8.7 million.</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product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Cost of product revenue for the three months ended June 30, 2026, was $1.5 million, a decrease of $10.9 million compared to cost of product revenue of $12.4 million for the three months ended June 30, 2025. The decrease was primarily due to a decrease in the write-down of unsaleable inventory of $11.7 million, partially offset by an increase in royalty costs related to increased product sales of MIPLYFFA.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Intangible asset amortization</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Intangible asset amortization for the three months ended </w:t>
      </w:r>
      <w:r>
        <w:rPr>
          <w:rFonts w:ascii="Times New Roman;serif" w:hAnsi="Times New Roman;serif"/>
          <w:b w:val="false"/>
          <w:color w:val="000000"/>
          <w:sz w:val="20"/>
        </w:rPr>
        <w:t xml:space="preserve">June 30, 2026, was $0.3 million, a decrease of $1.3 million compared to intangible asset amortization of $1.6 million for the three months ended June 30, 2025. The decrease was a result of definite-lived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intangible assets acquired in the acquisition of Acer no longer being amortized as a result of the impairment recorded as of and for the period ended June 30,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$1.1 million, from $3.4 million for the three months ended June 30, 2025, to $4.5 million for the three months ended June 30, 2026. This increase was primarily due to ongoing arimoclomol efforts.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approximately $4.2 million, from $20.8 million for the three months ended June 30, 2025, to $16.6 million for the three months ended June 30, 2026. This decrease was primarily related to decreases in professional fees and third party spending, partially offset by an increase in personnel related costs.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Other (expense)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(expense) income decreased from $147.9 million of income for the three months ended June 30, 2025, to $4.0 million of expense for the three months ended June 30, 2026. The decrease in income was primarily attributable to a gain on sale of PRV of $148.3 million in the second quarter of 2025, and a decrease in fair value adjustment related to warrant and CVR liability of $5.7 million, partially offset by a decrease in interest expense of $2.0 million and an increase in interest and other income, net, of $0.2 million,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by $1.8 million, from $2.2 million for the three months ended June 30, 2025, to $4.0 million for the three months ended June 30, 2026, due to the tax provision associated with increased income in the current quarter, excluding the gain on sale of PRV for which income tax expense was recognized in the fourth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360"/>
        <w:gridCol w:w="1783"/>
        <w:gridCol w:w="1788"/>
        <w:gridCol w:w="109"/>
        <w:gridCol w:w="109"/>
        <w:gridCol w:w="109"/>
        <w:gridCol w:w="211"/>
        <w:gridCol w:w="721"/>
        <w:gridCol w:w="109"/>
        <w:gridCol w:w="109"/>
        <w:gridCol w:w="109"/>
        <w:gridCol w:w="109"/>
        <w:gridCol w:w="211"/>
        <w:gridCol w:w="721"/>
        <w:gridCol w:w="109"/>
        <w:gridCol w:w="109"/>
        <w:gridCol w:w="109"/>
        <w:gridCol w:w="109"/>
        <w:gridCol w:w="226"/>
        <w:gridCol w:w="817"/>
        <w:gridCol w:w="168"/>
      </w:tblGrid>
      <w:tr>
        <w:trPr/>
        <w:tc>
          <w:tcPr>
            <w:tcW w:w="236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Period-to-</w:t>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 revenue (excluding $632 and $3,231 in intangible asset amortization for the six months ended June 30, 2026, and 2025, respectively, shown separately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future royalties, intellectual property, and 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43,314</w:t>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145,324 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warrant and CVR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 related to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(162,714)</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(24,966)</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income for the six months ended June 30, 2026, was $46.6 million, compared to a net income of $71.6 million for the six months ended June 30, 2025, a decrease to net income of $25.0 million. The decrease was primarily attributable to a gain on sale of PRV of $148.3 million in the second quarter of 2025, loss on derivative liability of $7.2 million, loss on extinguishment of debt of $2.8 million, an increase in tax expense of $7.6 million, and a decrease in fair value adjustment related to warrant and CVR liability of $9.6 million, partially offset by a gain on sale of future royalties, intellectual property, and other assets, net, of $43.3 million under the Commave Settlement Agreement in the first quarter of 2026, a decrease in impairment of intangible assets of $58.7 million, an increase of $29.6 million in revenue, a decrease in inventory obsolescence charges of $11.2 million, a decrease in intangible asset amortization of $2.6 million and an increase in interest and other income, net, of $3.2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six months ended June 30, 2026, was $75.9 million, compared to revenue of $46.3 million for the six months ended June 30, 2025, an increase of $29.6 million. The increase was primarily attributable to an increase in revenues under the global EAP of $14.1 million and an increase in product sales of MIPLYFFA of $16.3 million, partially offset by a decrease in royalty revenue of $0.7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product revenue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Cost of product revenue for the six months ended June 30, 2026, was $3.4 million, a decrease of $10.3 million compared to cost of product revenue of $13.7 million for the six months ended June 30, 2025. The decrease was primarily due to a decrease in the write-down of unsaleable inventory, partially offset by an increase in royalty costs related to increased product sales of MIPLYFFA.</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Intangible asset amortization</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Intangible asset amortization for the six months ended </w:t>
      </w:r>
      <w:r>
        <w:rPr>
          <w:rFonts w:ascii="Times New Roman;serif" w:hAnsi="Times New Roman;serif"/>
          <w:b w:val="false"/>
          <w:color w:val="000000"/>
          <w:sz w:val="20"/>
        </w:rPr>
        <w:t>June 30, 2026, was $0.6 million, a decrease of $2.6 million compared to intangible asset amortization of $3.2 million for the six months ended June 30, 2025. The decrease was a result of definite-lived intangible assets acquired in the acquisition of Acer no longer being amortized as a result of the impairment recorded as of and for the period ended June 30,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$2.2 million, from $6.7 million for the six months ended June 30, 2025, to $8.9 million for the six months ended June 30, 2026. This increase was primarily driven by an increase in spending for ongoing arimoclomol efforts and the celiprolol Phase 3 study.</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approximately $3.0 million, from $40.3 million for the six months ended June 30, 2025, to $37.3 million for the six months ended June 30, 2026. This decrease was primarily related to a decrease in third party spending and professional fees, partially offset by an increase in personnel related costs.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Other (expense)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(expense) income decreased from $151.4 million of income for the six months ended June 30, 2025, to $11.3 million of expense for the six months ended June 30, 2026. The decrease in income was primarily attributable to the gain on sale of PRV of $148.3 million in the second quarter of 2025, a loss on derivative liability of $7.2 million, a loss on extinguishment of debt of $2.8 million, and a decrease in fair value adjustment related to warrant and CVR liability of $9.6 million, and other assets, partially offset by an increase in interest and other income, net, of $3.2 million and a decrease in interest expense of $2.2 million.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by $7.6 million, from $3.4 million for the six months ended June 30, 2025, to $11.0 million for the six months ended June 30, 2026, due to the tax provision associated with increased income in the current period excluding the gain on sale of PRV for which income tax expense was recognized in the fourth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Through June 30, 2026, we have funded our research and development and operating activities primarily through the issuance of debt and equity and from product sales of MIPLYFFA and OLPRUVA, reimbursements received under the global EAP, royalties or net sales milestone payments generated under the AZSTARYS License Agreement and subsequent Commave Settlement Agreement, our PRV sale consummated on April 1, 2025, and consulting agreements. As of June 30, 2026, we had cash, cash equivalents and investments of $260.2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While we have recently had several quarters of positive net cash flows from operations, we previously had recurring negative net operating cash flows, and we cannot guarantee that we can continue to generate positive net cash flows from operations. We expect that our sources of revenue will be from product sales of approved products, product reimbursements received under the global EAP, and any other future arrangements related to one or more of our products or product candidates.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needed,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Registration Statement on Form S-3</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June 4, 2024, we filed a registration statement on Form S-3 (File No. 333-279941) (the “June 2024 Registration Statement”) under which we may sell securities in one or more offerings up to a total aggregate offering price of $350.0 million, $75.0 million of which was allocated to the sale of the shares of common stock issuable under the 2024 ATM Agreement (as described further below). The June 2024 Registration Statement was declared effective on June 13,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2024 ATM Agreement</w:t>
      </w:r>
    </w:p>
    <w:p>
      <w:pPr>
        <w:pStyle w:val="TextBody"/>
        <w:bidi w:val="0"/>
        <w:spacing w:lineRule="auto" w:line="288" w:before="0" w:after="240"/>
        <w:jc w:val="both"/>
        <w:rPr/>
      </w:pPr>
      <w:r>
        <w:rPr>
          <w:rFonts w:ascii="Times New Roman;serif" w:hAnsi="Times New Roman;serif"/>
          <w:b w:val="false"/>
          <w:color w:val="000000"/>
          <w:sz w:val="20"/>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our sales agent. The issuance and sale, if any, of common 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shares ha</w:t>
      </w:r>
      <w:r>
        <w:rPr>
          <w:rFonts w:ascii="Times New Roman;serif" w:hAnsi="Times New Roman;serif"/>
          <w:b w:val="false"/>
          <w:color w:val="000000"/>
          <w:sz w:val="20"/>
        </w:rPr>
        <w:t>ve been issued or sold under the 2024 ATM Agreement.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 Loans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the Lenders provided a senior secured loan facility to us in the aggregate principal amount of $100.0 million, divided into three tranches as follows: (i) $60.0 million, which was funded in full on the Term Loans Closing Date; (ii) $20.0 million, which was available to us in up to two drawings, each in an amount not to exceed $10.0 million, at our option until October 5, 2025; and; (iii) $20.0 million, which was available to us upon approval by the FDA of the NDA for MIPLYFFA for the treatment of NPC, at our option until December 31, 2024 (collectively, the “Term Loans”). We did not draw down the amounts described in (ii) and (iii) above prior to their applicable expiration dates. The proceeds of the Term Loans were used to refinance certain existing indebtedness of us and our subsidiaries. We used the remaining proceeds to pay fees and expenses related to the debt financing and commercialization of MIPLYFFA and OLPRUVA, and to further the development of other product candidates.</w:t>
      </w:r>
    </w:p>
    <w:p>
      <w:pPr>
        <w:pStyle w:val="TextBody"/>
        <w:bidi w:val="0"/>
        <w:spacing w:lineRule="auto" w:line="288" w:before="0" w:after="240"/>
        <w:jc w:val="both"/>
        <w:rPr/>
      </w:pPr>
      <w:r>
        <w:rPr>
          <w:rFonts w:ascii="Times New Roman;serif" w:hAnsi="Times New Roman;serif"/>
          <w:b w:val="false"/>
          <w:color w:val="000000"/>
          <w:sz w:val="20"/>
        </w:rPr>
        <w:t>On March 12, 2026, we repaid in full all outstanding obligations under the Credit Agreement. As of the date of repayment, the aggregate principal amount outstanding under the Credit Agreement was approximately $63.1 million (which includes accrued paid-in-kind interest of approximately $3.1 million), plus accrued and unpaid cash interest of $1.4 million. Under the terms of the Credit Agreement, we were also required to pay a final payment premium of $1.8 million, a make-whole amount and prepayment premium of $7.2 million and legal fees of approximately $0.1 million. The Term Loans were secured by a first priority perfected lien on, and security interest in, substantially all current and future assets of ours and certain subsidiaries that were guarantors thereunder. Upon repayment, the Credit Agreement and all related loan documents were terminated, and all liens and security interests granted thereunder were released. We recognized a loss on extinguishment of debt of $2.8 million in the unaudited condensed consolidated statements of operations during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40"/>
        <w:jc w:val="both"/>
        <w:rPr/>
      </w:pPr>
      <w:r>
        <w:rPr>
          <w:rFonts w:ascii="Times New Roman;serif" w:hAnsi="Times New Roman;serif"/>
          <w:b w:val="false"/>
          <w:color w:val="000000"/>
          <w:sz w:val="20"/>
        </w:rPr>
        <w:t>The following table summarizes our cash flows for th</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six months ended June 30, 2026, and 2025</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n thousands):</w:t>
      </w:r>
    </w:p>
    <w:tbl>
      <w:tblPr>
        <w:tblW w:w="7941" w:type="dxa"/>
        <w:jc w:val="left"/>
        <w:tblInd w:w="0" w:type="dxa"/>
        <w:tblLayout w:type="fixed"/>
        <w:tblCellMar>
          <w:top w:w="28" w:type="dxa"/>
          <w:left w:w="28" w:type="dxa"/>
          <w:bottom w:w="28" w:type="dxa"/>
          <w:right w:w="28" w:type="dxa"/>
        </w:tblCellMar>
      </w:tblPr>
      <w:tblGrid>
        <w:gridCol w:w="1839"/>
        <w:gridCol w:w="1617"/>
        <w:gridCol w:w="1629"/>
        <w:gridCol w:w="109"/>
        <w:gridCol w:w="109"/>
        <w:gridCol w:w="109"/>
        <w:gridCol w:w="211"/>
        <w:gridCol w:w="721"/>
        <w:gridCol w:w="109"/>
        <w:gridCol w:w="109"/>
        <w:gridCol w:w="109"/>
        <w:gridCol w:w="109"/>
        <w:gridCol w:w="211"/>
        <w:gridCol w:w="79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operating activities of $23.2 million consisted of net income of $46.6 million, in addition to changes in working capital of $8.7 million, partially offset by $32.1 million in adjustments for non-cash items. Net income was primarily attributable to income generated under the Commave Settlement Agreement, as well as revenue received from approved product sales, and reimbursements received under the global EAP. This income was partially offset by ongoing operating expenses to support our commercial organization and the resulting gain from the Commave Settlement Agreement, as well as the debt payoff. In addition to the aforementioned transactions, the adjustments for non-cash items primarily consisted of income tax expense of $7.6 million, stock-based compensation expense of $6.1 million, fair value adjustment related to warrant and CVR liability of $5.4 million and a gain on foreign currency exchange rates of $1.8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operating activities of $11.8 million consisted of net income of $71.6 million, offset by $69.3 million in adjustments for non-cash items and changes in working capital of $14.1 million. Net income was primarily attributable to the sale of the PRV, as well as revenue received from approved product sales, royalties generated under the AZSTARYS License Agreement, and reimbursements received under the global EAP, partially offset by impairment and obsolescence charges and spend on R&amp;D programs and operating costs. The adjustments for non-cash items primarily consisted of the gain on sale of PRV of $148.3 million, and a change in the fair value of warrant and CVR liability of $4.1 million, partially offset by impairment of intangible assets of $58.7 million, inventory obsolescence of $11.7 million, stock-based compensation expense of $5.6 million, $3.3 million of depreciation and amortization expense, and income tax expense of $3.4 million.</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investing activities was $111.1 million, which was primarily attributable to sales and maturities of investments of $143.2 million and sale of future royalties, intellectual property, and other assets, net, of $48.9 million, partially offset by $80.8 million in investment purchases.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investing activities was $22.5 million, which was primarily attributable to proceeds from the sale of the PRV of $150.0 million and maturities of investments of $30.5 million, partially offset by $157.7 million in purchases of investments.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financing activities was $51.2 million, which was primarily attributable to the repayment of debt of $60.1 million and the payments for employee taxes related to stock awards of $1.5 million, partially offset by proceeds from the issuance of stock for warrants exercised of $9.2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financing activities was $3.0 million, which was primarily attributable to proceeds from the issuance of stock of $2.9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our available cash, cash equivalents and investments, together with our ability to generate operating cash flow and our access to short-term and long-term borrowings, are sufficient to fund our existing and planned capital requirements for at least the next twelve months and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cash equivalents and investments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Potential near-term sources of additional funding include:</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sales of our approved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reimbursements received for arimoclomol under the global EAP;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potential sales of common stock by us under the 2024 ATM Agreement or any other offering of securities made pursuant to the June 2024 Registration Statement.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cannot guarantee that we will be able to generate sufficient proceeds from any of these potential sources to fund our operating expenses. We anticipate that our expenses will fluctuate substantially as we:</w:t>
      </w:r>
    </w:p>
    <w:p>
      <w:pPr>
        <w:pStyle w:val="TextBody"/>
        <w:bidi w:val="0"/>
        <w:spacing w:lineRule="auto" w:line="268" w:before="0" w:after="240"/>
        <w:ind w:left="0" w:right="0" w:hanging="576"/>
        <w:jc w:val="left"/>
        <w:rPr/>
      </w:pPr>
      <w:r>
        <w:rPr>
          <w:color w:val="000000"/>
        </w:rPr>
        <w:t>•</w:t>
      </w:r>
      <w:r>
        <w:rPr>
          <w:rFonts w:ascii="Times New Roman;serif" w:hAnsi="Times New Roman;serif"/>
          <w:b w:val="false"/>
          <w:color w:val="000000"/>
          <w:sz w:val="20"/>
        </w:rPr>
        <w:t>continue building and maintaining our ongo</w:t>
      </w:r>
      <w:r>
        <w:rPr>
          <w:rFonts w:ascii="Times New Roman;serif" w:hAnsi="Times New Roman;serif"/>
          <w:b w:val="false"/>
          <w:color w:val="000000"/>
          <w:sz w:val="20"/>
          <w:shd w:fill="FFFFFF" w:val="clear"/>
        </w:rPr>
        <w:t>ing</w:t>
      </w:r>
      <w:r>
        <w:rPr>
          <w:color w:val="000000"/>
        </w:rPr>
        <w:t xml:space="preserve"> </w:t>
      </w:r>
      <w:r>
        <w:rPr>
          <w:rFonts w:ascii="Times New Roman;serif" w:hAnsi="Times New Roman;serif"/>
          <w:b w:val="false"/>
          <w:color w:val="000000"/>
          <w:sz w:val="20"/>
        </w:rPr>
        <w:t>commercial capabilities to support the commercialization of our approved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shd w:fill="FFFFFF" w:val="clear"/>
        </w:rPr>
        <w:t xml:space="preserve">continue </w:t>
      </w:r>
      <w:r>
        <w:rPr>
          <w:rFonts w:ascii="Times New Roman;serif" w:hAnsi="Times New Roman;serif"/>
          <w:b w:val="false"/>
          <w:color w:val="000000"/>
          <w:sz w:val="20"/>
        </w:rPr>
        <w:t xml:space="preserve">clinical trials for celiprolol </w:t>
      </w:r>
      <w:r>
        <w:rPr>
          <w:rFonts w:ascii="Times New Roman;serif" w:hAnsi="Times New Roman;serif"/>
          <w:b w:val="false"/>
          <w:color w:val="000000"/>
          <w:sz w:val="20"/>
          <w:shd w:fill="FFFFFF" w:val="clear"/>
        </w:rPr>
        <w:t>or initiate preclinical studies, cli</w:t>
      </w:r>
      <w:r>
        <w:rPr>
          <w:rFonts w:ascii="Times New Roman;serif" w:hAnsi="Times New Roman;serif"/>
          <w:b w:val="false"/>
          <w:color w:val="000000"/>
          <w:sz w:val="20"/>
        </w:rPr>
        <w:t>nical trials and product development activities for future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regulatory approvals for any product candidates that may successfully complete clinical trials;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seek to discover, license or acquire, and develop additional product candidates;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adapt our regulatory compliance efforts to incorporate requirements applicable to marketed products;</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incur additional legal, accounting and other expenses in operating as a public company; and</w:t>
      </w:r>
    </w:p>
    <w:p>
      <w:pPr>
        <w:pStyle w:val="TextBody"/>
        <w:bidi w:val="0"/>
        <w:spacing w:lineRule="auto" w:line="288" w:before="0" w:after="240"/>
        <w:ind w:left="0" w:right="0" w:hanging="576"/>
        <w:jc w:val="both"/>
        <w:rPr/>
      </w:pPr>
      <w:r>
        <w:rPr>
          <w:color w:val="000000"/>
        </w:rPr>
        <w:t>•</w:t>
      </w:r>
      <w:r>
        <w:rPr>
          <w:rFonts w:ascii="Times New Roman;serif" w:hAnsi="Times New Roman;serif"/>
          <w:b w:val="false"/>
          <w:color w:val="000000"/>
          <w:sz w:val="20"/>
        </w:rPr>
        <w:t>add operational systems and personnel, if needed, to support any future commercialization efforts.</w:t>
      </w:r>
    </w:p>
    <w:p>
      <w:pPr>
        <w:pStyle w:val="TextBody"/>
        <w:bidi w:val="0"/>
        <w:spacing w:lineRule="auto" w:line="288" w:before="0" w:after="240"/>
        <w:jc w:val="both"/>
        <w:rPr/>
      </w:pPr>
      <w:r>
        <w:rPr>
          <w:rFonts w:ascii="Times New Roman;serif" w:hAnsi="Times New Roman;serif"/>
          <w:b w:val="false"/>
          <w:color w:val="000000"/>
          <w:sz w:val="20"/>
        </w:rPr>
        <w:t>We have based our estimates of our cash needs and cash runway on assumptions that may prove to be wrong, and we may use our available capital resources sooner than we currently expect. In addition, we cannot guarantee that we will be able to generate sufficient proceeds from sales of approved products, reimbursements received under the global E</w:t>
      </w:r>
      <w:r>
        <w:rPr>
          <w:rFonts w:ascii="Times New Roman;serif" w:hAnsi="Times New Roman;serif"/>
          <w:b w:val="false"/>
          <w:color w:val="000000"/>
          <w:sz w:val="20"/>
          <w:shd w:fill="FFFFFF" w:val="clear"/>
        </w:rPr>
        <w:t>AP, o</w:t>
      </w:r>
      <w:r>
        <w:rPr>
          <w:rFonts w:ascii="Times New Roman;serif" w:hAnsi="Times New Roman;serif"/>
          <w:b w:val="false"/>
          <w:color w:val="000000"/>
          <w:sz w:val="20"/>
        </w:rPr>
        <w:t>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that may be necessary.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Our critical accounting policies have not changed materially from those described in Part II, Item 7 “Management’s Discussion and Analysis of Financial Condition and Results of Operations” of our Annual Report on Form 10-K for the fiscal y</w:t>
      </w:r>
      <w:r>
        <w:rPr>
          <w:rFonts w:ascii="Times New Roman;serif" w:hAnsi="Times New Roman;serif"/>
          <w:b w:val="false"/>
          <w:color w:val="000000"/>
          <w:sz w:val="20"/>
          <w:shd w:fill="FFFFFF" w:val="clear"/>
        </w:rPr>
        <w:t xml:space="preserve">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filed with </w:t>
      </w:r>
      <w:r>
        <w:rPr>
          <w:rFonts w:ascii="Times New Roman;serif" w:hAnsi="Times New Roman;serif"/>
          <w:b w:val="false"/>
          <w:color w:val="000000"/>
          <w:sz w:val="20"/>
        </w:rPr>
        <w:t>the SEC on 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98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98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defined in Rules 13a-15(e) and 15d-15(e) under the Exchange Act) as of June 30, 2026. Based on the evaluation of our disclosure controls and procedures as of June 30, 2026, our chief executive officer and our chief financial officer concluded that, as of such date, our disclosure controls and procedures were effective at the reasonable assurance level.</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Rules 13a-15(d) and 15d-15(d) of the Exchange Act that occurred during our fiscal quarter ended June 30, 2026, that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1A.RISK FACTORS</w:t>
      </w:r>
    </w:p>
    <w:p>
      <w:pPr>
        <w:pStyle w:val="TextBody"/>
        <w:bidi w:val="0"/>
        <w:spacing w:lineRule="auto" w:line="288" w:before="0" w:after="240"/>
        <w:jc w:val="both"/>
        <w:rPr/>
      </w:pPr>
      <w:r>
        <w:rPr>
          <w:rFonts w:ascii="Times New Roman;serif" w:hAnsi="Times New Roman;serif"/>
          <w:b w:val="false"/>
          <w:color w:val="000000"/>
          <w:sz w:val="20"/>
        </w:rPr>
        <w:t xml:space="preserve">In addition to the other information set forth in this Quarterly Report on Form 10-Q, you should carefully consider all the risk factors and uncertainties described in Part I, Item 1A. “Risk Factors” of our Annual Report on Form 10-K for the fiscal year ended December 31, 2025, filed with the SEC on March 9, 2026, </w:t>
      </w:r>
      <w:hyperlink r:id="rId2">
        <w:r>
          <w:rPr>
            <w:rStyle w:val="InternetLink"/>
          </w:rPr>
          <w:t xml:space="preserve">as supplemented in </w:t>
        </w:r>
      </w:hyperlink>
      <w:hyperlink r:id="rId3">
        <w:r>
          <w:rPr>
            <w:rStyle w:val="InternetLink"/>
          </w:rPr>
          <w:t>Part I</w:t>
        </w:r>
      </w:hyperlink>
      <w:hyperlink r:id="rId4">
        <w:r>
          <w:rPr>
            <w:rStyle w:val="InternetLink"/>
          </w:rPr>
          <w:t>I</w:t>
        </w:r>
      </w:hyperlink>
      <w:hyperlink r:id="rId5">
        <w:r>
          <w:rPr>
            <w:rStyle w:val="InternetLink"/>
          </w:rPr>
          <w:t xml:space="preserve">, Item 1A. “Risk Factors” of our </w:t>
        </w:r>
      </w:hyperlink>
      <w:hyperlink r:id="rId6">
        <w:r>
          <w:rPr>
            <w:rStyle w:val="InternetLink"/>
          </w:rPr>
          <w:t>Quarterly</w:t>
        </w:r>
      </w:hyperlink>
      <w:hyperlink r:id="rId7">
        <w:r>
          <w:rPr>
            <w:rStyle w:val="InternetLink"/>
          </w:rPr>
          <w:t xml:space="preserve"> Report on Form 10-</w:t>
        </w:r>
      </w:hyperlink>
      <w:hyperlink r:id="rId8">
        <w:r>
          <w:rPr>
            <w:rStyle w:val="InternetLink"/>
          </w:rPr>
          <w:t>Q</w:t>
        </w:r>
      </w:hyperlink>
      <w:hyperlink r:id="rId9">
        <w:r>
          <w:rPr>
            <w:rStyle w:val="InternetLink"/>
          </w:rPr>
          <w:t xml:space="preserve"> for the </w:t>
        </w:r>
      </w:hyperlink>
      <w:hyperlink r:id="rId10">
        <w:r>
          <w:rPr>
            <w:rStyle w:val="InternetLink"/>
          </w:rPr>
          <w:t>quarter ended March 31, 2026</w:t>
        </w:r>
      </w:hyperlink>
      <w:hyperlink r:id="rId11">
        <w:r>
          <w:rPr>
            <w:rStyle w:val="InternetLink"/>
          </w:rPr>
          <w:t xml:space="preserve">, filed with the SEC on </w:t>
        </w:r>
      </w:hyperlink>
      <w:hyperlink r:id="rId12">
        <w:r>
          <w:rPr>
            <w:rStyle w:val="InternetLink"/>
          </w:rPr>
          <w:t>May 6, 2026</w:t>
        </w:r>
      </w:hyperlink>
      <w:r>
        <w:rPr>
          <w:rFonts w:ascii="Times New Roman;serif" w:hAnsi="Times New Roman;serif"/>
          <w:b w:val="false"/>
          <w:color w:val="000000"/>
          <w:sz w:val="20"/>
        </w:rPr>
        <w:t xml:space="preserve">, before investing in our common stock. There have been no material changes to the risk factors described in those reports.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Sales of Unregistered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189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hanging="270"/>
        <w:jc w:val="both"/>
        <w:rPr>
          <w:rFonts w:ascii="Times New Roman;serif" w:hAnsi="Times New Roman;serif"/>
          <w:b/>
          <w:color w:val="000000"/>
          <w:sz w:val="20"/>
        </w:rPr>
      </w:pPr>
      <w:r>
        <w:rPr>
          <w:rFonts w:ascii="Times New Roman;serif" w:hAnsi="Times New Roman;serif"/>
          <w:b/>
          <w:color w:val="000000"/>
          <w:sz w:val="20"/>
        </w:rPr>
        <w:t>(a)Disclosure in lieu of reporting on a Current Report on Form 8-K.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270"/>
        <w:jc w:val="both"/>
        <w:rPr>
          <w:rFonts w:ascii="Times New Roman;serif" w:hAnsi="Times New Roman;serif"/>
          <w:b/>
          <w:color w:val="000000"/>
          <w:sz w:val="20"/>
        </w:rPr>
      </w:pPr>
      <w:r>
        <w:rPr>
          <w:rFonts w:ascii="Times New Roman;serif" w:hAnsi="Times New Roman;serif"/>
          <w:b/>
          <w:color w:val="000000"/>
          <w:sz w:val="20"/>
        </w:rPr>
        <w:t>(b)Material changes to the procedures by which security holders may recommend nominees to the board of directors.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270"/>
        <w:jc w:val="both"/>
        <w:rPr>
          <w:rFonts w:ascii="Times New Roman;serif" w:hAnsi="Times New Roman;serif"/>
          <w:b/>
          <w:color w:val="000000"/>
          <w:sz w:val="20"/>
        </w:rPr>
      </w:pPr>
      <w:r>
        <w:rPr>
          <w:rFonts w:ascii="Times New Roman;serif" w:hAnsi="Times New Roman;serif"/>
          <w:b/>
          <w:color w:val="000000"/>
          <w:sz w:val="20"/>
        </w:rPr>
        <w:t>(c)Insider Trading Arrangements and Policies.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May 15, 2026, Rahsaan Thompson, our Chief Legal Officer, Secretary and Compliance Officer, adopted a Rule 10b5-1 trading plan that is intended to satisfy the affirmative defense of Rule 10b5-1(c) for the sale of up to 42,666 shares of our common stock. The plan will terminate at the earlier of the execution of all trading orders under the plan or December 31,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as discussed above, during the three months ended June 30, 2026, no director or officer of Zevra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Form 10-Q (the SEC file number for all items incorporated by reference herein from reports on Forms 10-K, 10-Q, and 8-K is 001-36913):</w:t>
      </w:r>
    </w:p>
    <w:tbl>
      <w:tblPr>
        <w:tblW w:w="10205" w:type="dxa"/>
        <w:jc w:val="left"/>
        <w:tblInd w:w="0" w:type="dxa"/>
        <w:tblLayout w:type="fixed"/>
        <w:tblCellMar>
          <w:top w:w="28" w:type="dxa"/>
          <w:left w:w="28" w:type="dxa"/>
          <w:bottom w:w="28" w:type="dxa"/>
          <w:right w:w="28" w:type="dxa"/>
        </w:tblCellMar>
      </w:tblPr>
      <w:tblGrid>
        <w:gridCol w:w="324"/>
        <w:gridCol w:w="285"/>
        <w:gridCol w:w="286"/>
        <w:gridCol w:w="109"/>
        <w:gridCol w:w="109"/>
        <w:gridCol w:w="109"/>
        <w:gridCol w:w="2686"/>
        <w:gridCol w:w="2594"/>
        <w:gridCol w:w="3703"/>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Restated Certificate of Incorporation of Zevra Therapeutics, Inc. (incorporated herein by reference to the Registrant’s Annual Report on Form 10-K as filed with the SEC on March 9, 2026).</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Amended and Restated Bylaws, as currently in effect, of Zevra Therapeutics, Inc. (incorporated herein by reference to the Registrant's Current Report on Form 8-K as filed with the SEC on February 28, 2024).</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Specimen stock certificate evidencing shares of Common Stock (incorporated herein by reference to the Registrant's Annual Report on Form 10-K as filed with the SEC on March 12, 2021).</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60630xex101.htm">
              <w:r>
                <w:rPr>
                  <w:rStyle w:val="InternetLink"/>
                  <w:rFonts w:ascii="Times New Roman;serif" w:hAnsi="Times New Roman;serif"/>
                  <w:b w:val="false"/>
                  <w:color w:val="0000FF"/>
                  <w:sz w:val="20"/>
                  <w:u w:val="single"/>
                </w:rPr>
                <w:t>First Amendment, dated May 15, 2026, to the Employment Agreement, dated February 1, 2017, by and between Timothy Sangiovanni and Zevra Therapeutics, Inc.</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60630xex311.htm">
              <w:r>
                <w:rPr>
                  <w:rStyle w:val="InternetLink"/>
                  <w:rFonts w:ascii="Times New Roman;serif" w:hAnsi="Times New Roman;serif"/>
                  <w:b w:val="false"/>
                  <w:color w:val="0000FF"/>
                  <w:sz w:val="20"/>
                  <w:u w:val="single"/>
                </w:rPr>
                <w:t>Certification of the Principal Executive Officer pursuant to Rule 13a-14(a) or Rule 15d-14(a) of the Securities Exchange Act of 1934, as amended.</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60630xex312.htm">
              <w:r>
                <w:rPr>
                  <w:rStyle w:val="InternetLink"/>
                  <w:rFonts w:ascii="Times New Roman;serif" w:hAnsi="Times New Roman;serif"/>
                  <w:b w:val="false"/>
                  <w:color w:val="0000FF"/>
                  <w:sz w:val="20"/>
                  <w:u w:val="single"/>
                </w:rPr>
                <w:t>Certification of the Principal Financial Officer pursuant to Rule 13a-14(a) or Rule 15d-14(a) of the Securities Exchange Act of 1934, as amended.</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60630xex321.htm">
              <w:r>
                <w:rPr>
                  <w:rStyle w:val="InternetLink"/>
                  <w:rFonts w:ascii="Times New Roman;serif" w:hAnsi="Times New Roman;serif"/>
                  <w:b w:val="false"/>
                  <w:color w:val="0000FF"/>
                  <w:sz w:val="20"/>
                  <w:u w:val="single"/>
                </w:rPr>
                <w:t>Certification of the Principal Executive Officer pursuant to Rule 13a-14(b) of the Securities Exchange Act of 1934, as amended, and 18. U.S.C. Section 1350, as adopted pursuant to Section 906 of the Sarbanes-Oxley Act of 2002.</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vra-20260630xex322.htm">
              <w:r>
                <w:rPr>
                  <w:rStyle w:val="InternetLink"/>
                  <w:rFonts w:ascii="Times New Roman;serif" w:hAnsi="Times New Roman;serif"/>
                  <w:b w:val="false"/>
                  <w:color w:val="0000FF"/>
                  <w:sz w:val="20"/>
                  <w:u w:val="single"/>
                </w:rPr>
                <w:t>Certification of the Principal Financial Officer pursuant to Rule 13a-14(b) of the Securities Exchange Act of 1934, as amended, and 18. U.S.C. Section 1350, as adopted pursuant to Section 906 of the Sarbanes-Oxley Act of 2002.</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combined in Exhibit 101)</w:t>
            </w:r>
          </w:p>
        </w:tc>
      </w:tr>
    </w:tbl>
    <w:tbl>
      <w:tblPr>
        <w:tblW w:w="43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85"/>
        <w:gridCol w:w="1085"/>
        <w:gridCol w:w="15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ea03b4e765da4f70803c4c4172d6bc8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5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47"/>
        <w:gridCol w:w="347"/>
        <w:gridCol w:w="347"/>
        <w:gridCol w:w="934"/>
        <w:gridCol w:w="934"/>
        <w:gridCol w:w="13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Zevra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Justin Renz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68" w:before="0" w:after="0"/>
        <w:jc w:val="center"/>
        <w:rPr>
          <w:rFonts w:ascii="Garamond;serif" w:hAnsi="Garamond;serif"/>
          <w:b/>
          <w:color w:val="000000"/>
          <w:sz w:val="24"/>
        </w:rPr>
      </w:pPr>
      <w:r>
        <w:rPr>
          <w:rFonts w:ascii="Garamond;serif" w:hAnsi="Garamond;serif"/>
          <w:b/>
          <w:color w:val="000000"/>
          <w:sz w:val="24"/>
        </w:rPr>
        <w:t xml:space="preserve">FIRST AMENDMENT </w:t>
      </w:r>
    </w:p>
    <w:p>
      <w:pPr>
        <w:pStyle w:val="TextBody"/>
        <w:bidi w:val="0"/>
        <w:spacing w:lineRule="auto" w:line="268" w:before="0" w:after="0"/>
        <w:jc w:val="center"/>
        <w:rPr>
          <w:rFonts w:ascii="Garamond;serif" w:hAnsi="Garamond;serif"/>
          <w:b/>
          <w:color w:val="000000"/>
          <w:sz w:val="24"/>
        </w:rPr>
      </w:pPr>
      <w:r>
        <w:rPr>
          <w:rFonts w:ascii="Garamond;serif" w:hAnsi="Garamond;serif"/>
          <w:b/>
          <w:color w:val="000000"/>
          <w:sz w:val="24"/>
        </w:rPr>
        <w:t>TO THE EMPLOYMENT AGREEMENT</w:t>
      </w:r>
    </w:p>
    <w:p>
      <w:pPr>
        <w:pStyle w:val="TextBody"/>
        <w:bidi w:val="0"/>
        <w:spacing w:lineRule="auto" w:line="360" w:before="0" w:after="0"/>
        <w:ind w:left="0" w:right="0" w:firstLine="720"/>
        <w:jc w:val="both"/>
        <w:rPr/>
      </w:pPr>
      <w:r>
        <w:rPr>
          <w:rFonts w:ascii="Garamond;serif" w:hAnsi="Garamond;serif"/>
          <w:b w:val="false"/>
          <w:color w:val="000000"/>
          <w:sz w:val="24"/>
        </w:rPr>
        <w:t>This FIRST AMENDMENT (the “</w:t>
      </w:r>
      <w:r>
        <w:rPr>
          <w:rFonts w:ascii="Garamond;serif" w:hAnsi="Garamond;serif"/>
          <w:b w:val="false"/>
          <w:color w:val="000000"/>
          <w:sz w:val="24"/>
          <w:u w:val="single"/>
        </w:rPr>
        <w:t>First Amendment</w:t>
      </w:r>
      <w:r>
        <w:rPr>
          <w:color w:val="000000"/>
        </w:rPr>
        <w:t>”</w:t>
      </w:r>
      <w:r>
        <w:rPr>
          <w:rFonts w:ascii="Garamond;serif" w:hAnsi="Garamond;serif"/>
          <w:b w:val="false"/>
          <w:color w:val="000000"/>
          <w:sz w:val="24"/>
        </w:rPr>
        <w:t>) to the Employment Agreement (the “</w:t>
      </w:r>
      <w:r>
        <w:rPr>
          <w:rFonts w:ascii="Garamond;serif" w:hAnsi="Garamond;serif"/>
          <w:b w:val="false"/>
          <w:color w:val="000000"/>
          <w:sz w:val="24"/>
          <w:u w:val="single"/>
        </w:rPr>
        <w:t>Agreement</w:t>
      </w:r>
      <w:r>
        <w:rPr>
          <w:color w:val="000000"/>
        </w:rPr>
        <w:t>”</w:t>
      </w:r>
      <w:r>
        <w:rPr>
          <w:rFonts w:ascii="Garamond;serif" w:hAnsi="Garamond;serif"/>
          <w:b w:val="false"/>
          <w:color w:val="000000"/>
          <w:sz w:val="24"/>
        </w:rPr>
        <w:t>), between Zevra Therapeutics, Inc. (the “</w:t>
      </w:r>
      <w:r>
        <w:rPr>
          <w:rFonts w:ascii="Garamond;serif" w:hAnsi="Garamond;serif"/>
          <w:b w:val="false"/>
          <w:color w:val="000000"/>
          <w:sz w:val="24"/>
          <w:u w:val="single"/>
        </w:rPr>
        <w:t>Company</w:t>
      </w:r>
      <w:r>
        <w:rPr>
          <w:color w:val="000000"/>
        </w:rPr>
        <w:t>”</w:t>
      </w:r>
      <w:r>
        <w:rPr>
          <w:rFonts w:ascii="Garamond;serif" w:hAnsi="Garamond;serif"/>
          <w:b w:val="false"/>
          <w:color w:val="000000"/>
          <w:sz w:val="24"/>
        </w:rPr>
        <w:t>) and Timothy Sangiovanni (the “</w:t>
      </w:r>
      <w:r>
        <w:rPr>
          <w:rFonts w:ascii="Garamond;serif" w:hAnsi="Garamond;serif"/>
          <w:b w:val="false"/>
          <w:color w:val="000000"/>
          <w:sz w:val="24"/>
          <w:u w:val="single"/>
        </w:rPr>
        <w:t>Executive</w:t>
      </w:r>
      <w:r>
        <w:rPr>
          <w:color w:val="000000"/>
        </w:rPr>
        <w:t>”</w:t>
      </w:r>
      <w:r>
        <w:rPr>
          <w:rFonts w:ascii="Garamond;serif" w:hAnsi="Garamond;serif"/>
          <w:b w:val="false"/>
          <w:color w:val="000000"/>
          <w:sz w:val="24"/>
        </w:rPr>
        <w:t>) is made and entered into as of the last date of signature set forth below (the “</w:t>
      </w:r>
      <w:r>
        <w:rPr>
          <w:rFonts w:ascii="Garamond;serif" w:hAnsi="Garamond;serif"/>
          <w:b w:val="false"/>
          <w:color w:val="000000"/>
          <w:sz w:val="24"/>
          <w:u w:val="single"/>
        </w:rPr>
        <w:t>First Amendment Effective Date</w:t>
      </w:r>
      <w:r>
        <w:rPr>
          <w:color w:val="000000"/>
        </w:rPr>
        <w:t>”</w:t>
      </w:r>
      <w:r>
        <w:rPr>
          <w:rFonts w:ascii="Garamond;serif" w:hAnsi="Garamond;serif"/>
          <w:b w:val="false"/>
          <w:color w:val="000000"/>
          <w:sz w:val="24"/>
        </w:rPr>
        <w:t>), by and between the Company and the Executive;</w:t>
      </w:r>
    </w:p>
    <w:p>
      <w:pPr>
        <w:pStyle w:val="TextBody"/>
        <w:bidi w:val="0"/>
        <w:spacing w:lineRule="auto" w:line="360" w:before="0" w:after="0"/>
        <w:jc w:val="center"/>
        <w:rPr/>
      </w:pPr>
      <w:r>
        <w:rPr>
          <w:rFonts w:ascii="Garamond;serif" w:hAnsi="Garamond;serif"/>
          <w:b w:val="false"/>
          <w:color w:val="000000"/>
          <w:sz w:val="24"/>
          <w:u w:val="single"/>
        </w:rPr>
        <w:t>W</w:t>
      </w:r>
      <w:r>
        <w:rPr>
          <w:color w:val="000000"/>
        </w:rPr>
        <w:t xml:space="preserve"> </w:t>
      </w:r>
      <w:r>
        <w:rPr>
          <w:rFonts w:ascii="Garamond;serif" w:hAnsi="Garamond;serif"/>
          <w:b w:val="false"/>
          <w:color w:val="000000"/>
          <w:sz w:val="24"/>
          <w:u w:val="single"/>
        </w:rPr>
        <w:t>I</w:t>
      </w:r>
      <w:r>
        <w:rPr>
          <w:color w:val="000000"/>
        </w:rPr>
        <w:t xml:space="preserve"> </w:t>
      </w:r>
      <w:r>
        <w:rPr>
          <w:rFonts w:ascii="Garamond;serif" w:hAnsi="Garamond;serif"/>
          <w:b w:val="false"/>
          <w:color w:val="000000"/>
          <w:sz w:val="24"/>
          <w:u w:val="single"/>
        </w:rPr>
        <w:t>T</w:t>
      </w:r>
      <w:r>
        <w:rPr>
          <w:color w:val="000000"/>
        </w:rPr>
        <w:t xml:space="preserve"> </w:t>
      </w:r>
      <w:r>
        <w:rPr>
          <w:rFonts w:ascii="Garamond;serif" w:hAnsi="Garamond;serif"/>
          <w:b w:val="false"/>
          <w:color w:val="000000"/>
          <w:sz w:val="24"/>
          <w:u w:val="single"/>
        </w:rPr>
        <w:t>N</w:t>
      </w:r>
      <w:r>
        <w:rPr>
          <w:color w:val="000000"/>
        </w:rPr>
        <w:t xml:space="preserve"> </w:t>
      </w:r>
      <w:r>
        <w:rPr>
          <w:rFonts w:ascii="Garamond;serif" w:hAnsi="Garamond;serif"/>
          <w:b w:val="false"/>
          <w:color w:val="000000"/>
          <w:sz w:val="24"/>
          <w:u w:val="single"/>
        </w:rPr>
        <w:t>E</w:t>
      </w:r>
      <w:r>
        <w:rPr>
          <w:color w:val="000000"/>
        </w:rPr>
        <w:t xml:space="preserve"> </w:t>
      </w:r>
      <w:r>
        <w:rPr>
          <w:rFonts w:ascii="Garamond;serif" w:hAnsi="Garamond;serif"/>
          <w:b w:val="false"/>
          <w:color w:val="000000"/>
          <w:sz w:val="24"/>
          <w:u w:val="single"/>
        </w:rPr>
        <w:t>S</w:t>
      </w:r>
      <w:r>
        <w:rPr>
          <w:color w:val="000000"/>
        </w:rPr>
        <w:t xml:space="preserve"> </w:t>
      </w:r>
      <w:r>
        <w:rPr>
          <w:rFonts w:ascii="Garamond;serif" w:hAnsi="Garamond;serif"/>
          <w:b w:val="false"/>
          <w:color w:val="000000"/>
          <w:sz w:val="24"/>
          <w:u w:val="single"/>
        </w:rPr>
        <w:t>S</w:t>
      </w:r>
      <w:r>
        <w:rPr>
          <w:color w:val="000000"/>
        </w:rPr>
        <w:t xml:space="preserve"> </w:t>
      </w:r>
      <w:r>
        <w:rPr>
          <w:rFonts w:ascii="Garamond;serif" w:hAnsi="Garamond;serif"/>
          <w:b w:val="false"/>
          <w:color w:val="000000"/>
          <w:sz w:val="24"/>
          <w:u w:val="single"/>
        </w:rPr>
        <w:t>E</w:t>
      </w:r>
      <w:r>
        <w:rPr>
          <w:color w:val="000000"/>
        </w:rPr>
        <w:t xml:space="preserve"> </w:t>
      </w:r>
      <w:r>
        <w:rPr>
          <w:rFonts w:ascii="Garamond;serif" w:hAnsi="Garamond;serif"/>
          <w:b w:val="false"/>
          <w:color w:val="000000"/>
          <w:sz w:val="24"/>
          <w:u w:val="single"/>
        </w:rPr>
        <w:t>T</w:t>
      </w:r>
      <w:r>
        <w:rPr>
          <w:color w:val="000000"/>
        </w:rPr>
        <w:t xml:space="preserve"> </w:t>
      </w:r>
      <w:r>
        <w:rPr>
          <w:rFonts w:ascii="Garamond;serif" w:hAnsi="Garamond;serif"/>
          <w:b w:val="false"/>
          <w:color w:val="000000"/>
          <w:sz w:val="24"/>
          <w:u w:val="single"/>
        </w:rPr>
        <w:t>H</w:t>
      </w:r>
      <w:r>
        <w:rPr>
          <w:rFonts w:ascii="Garamond;serif" w:hAnsi="Garamond;serif"/>
          <w:b w:val="false"/>
          <w:color w:val="000000"/>
          <w:sz w:val="24"/>
        </w:rPr>
        <w:t>:</w:t>
      </w:r>
    </w:p>
    <w:p>
      <w:pPr>
        <w:pStyle w:val="TextBody"/>
        <w:bidi w:val="0"/>
        <w:spacing w:lineRule="auto" w:line="360" w:before="0" w:after="0"/>
        <w:ind w:left="0" w:right="0" w:firstLine="720"/>
        <w:jc w:val="both"/>
        <w:rPr>
          <w:rFonts w:ascii="Garamond;serif" w:hAnsi="Garamond;serif"/>
          <w:b w:val="false"/>
          <w:color w:val="000000"/>
          <w:sz w:val="24"/>
        </w:rPr>
      </w:pPr>
      <w:r>
        <w:rPr>
          <w:rFonts w:ascii="Garamond;serif" w:hAnsi="Garamond;serif"/>
          <w:b w:val="false"/>
          <w:color w:val="000000"/>
          <w:sz w:val="24"/>
        </w:rPr>
        <w:t>WHEREAS, the Company and the Executive entered into the Agreement effective February 1, 2017; and</w:t>
      </w:r>
    </w:p>
    <w:p>
      <w:pPr>
        <w:pStyle w:val="TextBody"/>
        <w:bidi w:val="0"/>
        <w:spacing w:lineRule="auto" w:line="360" w:before="0" w:after="0"/>
        <w:ind w:left="0" w:right="0" w:firstLine="720"/>
        <w:jc w:val="both"/>
        <w:rPr>
          <w:rFonts w:ascii="Garamond;serif" w:hAnsi="Garamond;serif"/>
          <w:b w:val="false"/>
          <w:color w:val="000000"/>
          <w:sz w:val="24"/>
        </w:rPr>
      </w:pPr>
      <w:r>
        <w:rPr>
          <w:rFonts w:ascii="Garamond;serif" w:hAnsi="Garamond;serif"/>
          <w:b w:val="false"/>
          <w:color w:val="000000"/>
          <w:sz w:val="24"/>
        </w:rPr>
        <w:t>WHEREAS, the Company and the Executive now desire to amend the Agreement to amend provisions relating to accelerated vesting of outstanding equity granted on or after the First Amendment Effective Date upon the occurrence of a termination without “Cause” or for “Good Reason” (each as defined in the Agreement);</w:t>
      </w:r>
    </w:p>
    <w:p>
      <w:pPr>
        <w:pStyle w:val="TextBody"/>
        <w:bidi w:val="0"/>
        <w:spacing w:lineRule="auto" w:line="360" w:before="0" w:after="0"/>
        <w:ind w:left="0" w:right="0" w:firstLine="720"/>
        <w:jc w:val="both"/>
        <w:rPr>
          <w:rFonts w:ascii="Garamond;serif" w:hAnsi="Garamond;serif"/>
          <w:b w:val="false"/>
          <w:color w:val="000000"/>
          <w:sz w:val="24"/>
        </w:rPr>
      </w:pPr>
      <w:r>
        <w:rPr>
          <w:rFonts w:ascii="Garamond;serif" w:hAnsi="Garamond;serif"/>
          <w:b w:val="false"/>
          <w:color w:val="000000"/>
          <w:sz w:val="24"/>
        </w:rPr>
        <w:t>NOW, THEREFORE, the Company and the Executive, effective as of the date set forth above, do hereby amend the Agreement as follows:</w:t>
      </w:r>
    </w:p>
    <w:p>
      <w:pPr>
        <w:pStyle w:val="TextBody"/>
        <w:bidi w:val="0"/>
        <w:spacing w:lineRule="auto" w:line="268" w:before="0" w:after="0"/>
        <w:jc w:val="center"/>
        <w:rPr>
          <w:rFonts w:ascii="Garamond;serif" w:hAnsi="Garamond;serif"/>
          <w:b w:val="false"/>
          <w:color w:val="000000"/>
          <w:sz w:val="24"/>
        </w:rPr>
      </w:pPr>
      <w:r>
        <w:rPr>
          <w:rFonts w:ascii="Garamond;serif" w:hAnsi="Garamond;serif"/>
          <w:b w:val="false"/>
          <w:color w:val="000000"/>
          <w:sz w:val="24"/>
        </w:rPr>
        <w:t>1.</w:t>
      </w:r>
    </w:p>
    <w:p>
      <w:pPr>
        <w:pStyle w:val="TextBody"/>
        <w:bidi w:val="0"/>
        <w:spacing w:lineRule="auto" w:line="268" w:before="0" w:after="0"/>
        <w:ind w:left="0" w:right="0" w:firstLine="720"/>
        <w:jc w:val="both"/>
        <w:rPr>
          <w:rFonts w:ascii="Garamond;serif" w:hAnsi="Garamond;serif"/>
          <w:b w:val="false"/>
          <w:color w:val="000000"/>
          <w:sz w:val="24"/>
        </w:rPr>
      </w:pPr>
      <w:r>
        <w:rPr>
          <w:rFonts w:ascii="Garamond;serif" w:hAnsi="Garamond;serif"/>
          <w:b w:val="false"/>
          <w:color w:val="000000"/>
          <w:sz w:val="24"/>
        </w:rPr>
        <w:t>Section 4(E)(1)(d) of the Agreement shall be deleted in its entirety and replaced with the following:</w:t>
      </w:r>
    </w:p>
    <w:p>
      <w:pPr>
        <w:pStyle w:val="TextBody"/>
        <w:bidi w:val="0"/>
        <w:spacing w:lineRule="auto" w:line="268" w:before="0" w:after="0"/>
        <w:ind w:left="0" w:right="0" w:firstLine="1440"/>
        <w:jc w:val="both"/>
        <w:rPr/>
      </w:pPr>
      <w:r>
        <w:rPr>
          <w:color w:val="000000"/>
        </w:rPr>
        <w:t>“</w:t>
      </w:r>
      <w:r>
        <w:rPr>
          <w:rFonts w:ascii="Garamond;serif" w:hAnsi="Garamond;serif"/>
          <w:b w:val="false"/>
          <w:color w:val="000000"/>
          <w:sz w:val="24"/>
        </w:rPr>
        <w:t xml:space="preserve">(d) The vesting of each outstanding equity award granted to Executive will accelerate so that such awards will be fully vested as of the Date of Termination. If any equity awards vest based on the attainment of performance goals, the performance goals will be deemed to have </w:t>
      </w:r>
      <w:r>
        <w:rPr>
          <w:rFonts w:ascii="Garamond;serif" w:hAnsi="Garamond;serif"/>
          <w:b w:val="false"/>
          <w:color w:val="000000"/>
          <w:sz w:val="24"/>
          <w:u w:val="single"/>
        </w:rPr>
        <w:t>been</w:t>
      </w:r>
      <w:r>
        <w:rPr>
          <w:color w:val="000000"/>
        </w:rPr>
        <w:t xml:space="preserve"> </w:t>
      </w:r>
      <w:r>
        <w:rPr>
          <w:rFonts w:ascii="Garamond;serif" w:hAnsi="Garamond;serif"/>
          <w:b w:val="false"/>
          <w:color w:val="000000"/>
          <w:sz w:val="24"/>
        </w:rPr>
        <w:t>met as of the Date of Termination, unless such greater amount of vesting is provided for in the applicable award agreements. Notwithstanding the foregoing, this Subsection (d) shall not apply with respect to any equity awards granted on or after the First Amendment Effective Date, and such awards shall be subject to vesting, if at all, pursuant to the terms of the applicable award agreement.”</w:t>
      </w:r>
    </w:p>
    <w:p>
      <w:pPr>
        <w:pStyle w:val="TextBody"/>
        <w:bidi w:val="0"/>
        <w:spacing w:lineRule="auto" w:line="268" w:before="0" w:after="0"/>
        <w:jc w:val="center"/>
        <w:rPr>
          <w:rFonts w:ascii="Garamond;serif" w:hAnsi="Garamond;serif"/>
          <w:b w:val="false"/>
          <w:color w:val="000000"/>
          <w:sz w:val="24"/>
        </w:rPr>
      </w:pPr>
      <w:r>
        <w:rPr>
          <w:rFonts w:ascii="Garamond;serif" w:hAnsi="Garamond;serif"/>
          <w:b w:val="false"/>
          <w:color w:val="000000"/>
          <w:sz w:val="24"/>
        </w:rPr>
        <w:t>2.</w:t>
      </w:r>
    </w:p>
    <w:p>
      <w:pPr>
        <w:pStyle w:val="TextBody"/>
        <w:bidi w:val="0"/>
        <w:spacing w:lineRule="auto" w:line="268" w:before="0" w:after="0"/>
        <w:ind w:left="0" w:right="0" w:firstLine="720"/>
        <w:jc w:val="both"/>
        <w:rPr>
          <w:rFonts w:ascii="Garamond;serif" w:hAnsi="Garamond;serif"/>
          <w:b w:val="false"/>
          <w:color w:val="000000"/>
          <w:sz w:val="24"/>
        </w:rPr>
      </w:pPr>
      <w:r>
        <w:rPr>
          <w:rFonts w:ascii="Garamond;serif" w:hAnsi="Garamond;serif"/>
          <w:b w:val="false"/>
          <w:color w:val="000000"/>
          <w:sz w:val="24"/>
        </w:rPr>
        <w:t>Except as specifically amended hereby, the Agreement shall remain in full force and effect as prior to this First Amendment.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4"/>
        </w:rPr>
      </w:pPr>
      <w:r>
        <w:rPr>
          <w:rFonts w:ascii="Garamond;serif" w:hAnsi="Garamond;serif"/>
          <w:b w:val="false"/>
          <w:color w:val="000000"/>
          <w:sz w:val="24"/>
        </w:rPr>
        <w:t>IN WITNESS WHEREOF, the parties have caused this First Amendment to be executed as of the First Amendment Effective Date.</w:t>
      </w:r>
    </w:p>
    <w:p>
      <w:pPr>
        <w:pStyle w:val="TextBody"/>
        <w:bidi w:val="0"/>
        <w:spacing w:before="0" w:after="0"/>
        <w:jc w:val="left"/>
        <w:rPr/>
      </w:pPr>
      <w:r>
        <w:rPr/>
      </w:r>
    </w:p>
    <w:p>
      <w:pPr>
        <w:pStyle w:val="TextBody"/>
        <w:bidi w:val="0"/>
        <w:spacing w:lineRule="auto" w:line="268" w:before="0" w:after="0"/>
        <w:jc w:val="left"/>
        <w:rPr>
          <w:rFonts w:ascii="Garamond;serif" w:hAnsi="Garamond;serif"/>
          <w:b/>
          <w:color w:val="000000"/>
          <w:sz w:val="24"/>
        </w:rPr>
      </w:pPr>
      <w:r>
        <w:rPr>
          <w:rFonts w:ascii="Garamond;serif" w:hAnsi="Garamond;serif"/>
          <w:b/>
          <w:color w:val="000000"/>
          <w:sz w:val="24"/>
        </w:rPr>
        <w:t>ZEVRA THERAPEUTICS,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Garamond;serif" w:hAnsi="Garamond;serif"/>
          <w:b w:val="false"/>
          <w:color w:val="000000"/>
          <w:sz w:val="24"/>
        </w:rPr>
        <w:t xml:space="preserve">By: </w:t>
      </w:r>
      <w:r>
        <w:rPr>
          <w:rFonts w:ascii="Garamond;serif" w:hAnsi="Garamond;serif"/>
          <w:b w:val="false"/>
          <w:color w:val="000000"/>
          <w:sz w:val="24"/>
          <w:u w:val="single"/>
        </w:rPr>
        <w:t xml:space="preserve">/s/ Rahsaan Thompson </w:t>
      </w:r>
    </w:p>
    <w:p>
      <w:pPr>
        <w:pStyle w:val="TextBody"/>
        <w:bidi w:val="0"/>
        <w:spacing w:lineRule="auto" w:line="268" w:before="0" w:after="0"/>
        <w:jc w:val="left"/>
        <w:rPr>
          <w:rFonts w:ascii="Garamond;serif" w:hAnsi="Garamond;serif"/>
          <w:b w:val="false"/>
          <w:color w:val="000000"/>
          <w:sz w:val="24"/>
        </w:rPr>
      </w:pPr>
      <w:r>
        <w:rPr>
          <w:rFonts w:ascii="Garamond;serif" w:hAnsi="Garamond;serif"/>
          <w:b w:val="false"/>
          <w:color w:val="000000"/>
          <w:sz w:val="24"/>
        </w:rPr>
        <w:t>Name: Rahsaan Thompson</w:t>
      </w:r>
    </w:p>
    <w:p>
      <w:pPr>
        <w:pStyle w:val="TextBody"/>
        <w:bidi w:val="0"/>
        <w:spacing w:lineRule="auto" w:line="268" w:before="0" w:after="0"/>
        <w:jc w:val="left"/>
        <w:rPr>
          <w:rFonts w:ascii="Garamond;serif" w:hAnsi="Garamond;serif"/>
          <w:b w:val="false"/>
          <w:color w:val="000000"/>
          <w:sz w:val="24"/>
        </w:rPr>
      </w:pPr>
      <w:r>
        <w:rPr>
          <w:rFonts w:ascii="Garamond;serif" w:hAnsi="Garamond;serif"/>
          <w:b w:val="false"/>
          <w:color w:val="000000"/>
          <w:sz w:val="24"/>
        </w:rPr>
        <w:t>Title: Chief Legal Officer, Secretary and Compliance Officer</w:t>
      </w:r>
    </w:p>
    <w:p>
      <w:pPr>
        <w:pStyle w:val="TextBody"/>
        <w:bidi w:val="0"/>
        <w:spacing w:before="0" w:after="0"/>
        <w:jc w:val="left"/>
        <w:rPr/>
      </w:pPr>
      <w:r>
        <w:rPr/>
      </w:r>
    </w:p>
    <w:p>
      <w:pPr>
        <w:pStyle w:val="TextBody"/>
        <w:bidi w:val="0"/>
        <w:spacing w:lineRule="auto" w:line="268" w:before="0" w:after="0"/>
        <w:jc w:val="left"/>
        <w:rPr>
          <w:rFonts w:ascii="Garamond;serif" w:hAnsi="Garamond;serif"/>
          <w:b w:val="false"/>
          <w:color w:val="000000"/>
          <w:sz w:val="24"/>
        </w:rPr>
      </w:pPr>
      <w:r>
        <w:rPr>
          <w:rFonts w:ascii="Garamond;serif" w:hAnsi="Garamond;serif"/>
          <w:b w:val="false"/>
          <w:color w:val="000000"/>
          <w:sz w:val="24"/>
        </w:rPr>
        <w:t>Date: 14-May-2026</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68" w:before="0" w:after="0"/>
        <w:jc w:val="both"/>
        <w:rPr>
          <w:rFonts w:ascii="Garamond;serif" w:hAnsi="Garamond;serif"/>
          <w:b w:val="false"/>
          <w:color w:val="000000"/>
          <w:sz w:val="24"/>
          <w:u w:val="single"/>
        </w:rPr>
      </w:pPr>
      <w:r>
        <w:rPr>
          <w:rFonts w:ascii="Garamond;serif" w:hAnsi="Garamond;serif"/>
          <w:b w:val="false"/>
          <w:color w:val="000000"/>
          <w:sz w:val="24"/>
          <w:u w:val="single"/>
        </w:rPr>
        <w:t xml:space="preserve">/s/Timothy Sangiovanni </w:t>
      </w:r>
    </w:p>
    <w:p>
      <w:pPr>
        <w:pStyle w:val="TextBody"/>
        <w:bidi w:val="0"/>
        <w:spacing w:lineRule="auto" w:line="268" w:before="0" w:after="0"/>
        <w:jc w:val="both"/>
        <w:rPr>
          <w:rFonts w:ascii="Garamond;serif" w:hAnsi="Garamond;serif"/>
          <w:b w:val="false"/>
          <w:color w:val="000000"/>
          <w:sz w:val="24"/>
        </w:rPr>
      </w:pPr>
      <w:r>
        <w:rPr>
          <w:rFonts w:ascii="Garamond;serif" w:hAnsi="Garamond;serif"/>
          <w:b w:val="false"/>
          <w:color w:val="000000"/>
          <w:sz w:val="24"/>
        </w:rPr>
        <w:t>Timothy Sangiovanni</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4"/>
        </w:rPr>
      </w:pPr>
      <w:r>
        <w:rPr>
          <w:rFonts w:ascii="Garamond;serif" w:hAnsi="Garamond;serif"/>
          <w:b w:val="false"/>
          <w:color w:val="000000"/>
          <w:sz w:val="24"/>
        </w:rPr>
        <w:t>Date: 15-May-2026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Neil F. McFarlane, certify that: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Zevra Therapeutics,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35" w:type="dxa"/>
        <w:jc w:val="left"/>
        <w:tblInd w:w="0" w:type="dxa"/>
        <w:tblLayout w:type="fixed"/>
        <w:tblCellMar>
          <w:top w:w="28" w:type="dxa"/>
          <w:left w:w="28" w:type="dxa"/>
          <w:bottom w:w="28" w:type="dxa"/>
          <w:right w:w="28" w:type="dxa"/>
        </w:tblCellMar>
      </w:tblPr>
      <w:tblGrid>
        <w:gridCol w:w="493"/>
        <w:gridCol w:w="435"/>
        <w:gridCol w:w="437"/>
        <w:gridCol w:w="287"/>
        <w:gridCol w:w="287"/>
        <w:gridCol w:w="287"/>
        <w:gridCol w:w="936"/>
        <w:gridCol w:w="936"/>
        <w:gridCol w:w="133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Justin Renz, certify that: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Zevra Therapeutics, Inc.;</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44" w:type="dxa"/>
        <w:jc w:val="left"/>
        <w:tblInd w:w="0" w:type="dxa"/>
        <w:tblLayout w:type="fixed"/>
        <w:tblCellMar>
          <w:top w:w="28" w:type="dxa"/>
          <w:left w:w="28" w:type="dxa"/>
          <w:bottom w:w="28" w:type="dxa"/>
          <w:right w:w="28" w:type="dxa"/>
        </w:tblCellMar>
      </w:tblPr>
      <w:tblGrid>
        <w:gridCol w:w="493"/>
        <w:gridCol w:w="435"/>
        <w:gridCol w:w="437"/>
        <w:gridCol w:w="210"/>
        <w:gridCol w:w="210"/>
        <w:gridCol w:w="210"/>
        <w:gridCol w:w="923"/>
        <w:gridCol w:w="923"/>
        <w:gridCol w:w="130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7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Justin Renz</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Zevra Therapeutics, Inc., (the “Company”) for the quarterly period ended June 30, 2026,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435" w:type="dxa"/>
        <w:jc w:val="left"/>
        <w:tblInd w:w="0" w:type="dxa"/>
        <w:tblLayout w:type="fixed"/>
        <w:tblCellMar>
          <w:top w:w="28" w:type="dxa"/>
          <w:left w:w="28" w:type="dxa"/>
          <w:bottom w:w="28" w:type="dxa"/>
          <w:right w:w="28" w:type="dxa"/>
        </w:tblCellMar>
      </w:tblPr>
      <w:tblGrid>
        <w:gridCol w:w="493"/>
        <w:gridCol w:w="435"/>
        <w:gridCol w:w="437"/>
        <w:gridCol w:w="287"/>
        <w:gridCol w:w="287"/>
        <w:gridCol w:w="287"/>
        <w:gridCol w:w="936"/>
        <w:gridCol w:w="936"/>
        <w:gridCol w:w="133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Neil F. McFarlane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Neil F. McFarlane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Zevra Therapeutics, Inc., (the “Company”) for the quarterly period ended June 30, 2026, as filed with the Securities and Exchange Commission on the date hereof (the “Report”), I, Justin Renz, Principal Financial Officer of the Company, certify, pursuant to 18 U.S.C. Section 1350, as adopted pursuant to Section 906 of the Sarbanes-Oxley Act of 2002, that, to my knowledge: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144" w:type="dxa"/>
        <w:jc w:val="left"/>
        <w:tblInd w:w="0" w:type="dxa"/>
        <w:tblLayout w:type="fixed"/>
        <w:tblCellMar>
          <w:top w:w="28" w:type="dxa"/>
          <w:left w:w="28" w:type="dxa"/>
          <w:bottom w:w="28" w:type="dxa"/>
          <w:right w:w="28" w:type="dxa"/>
        </w:tblCellMar>
      </w:tblPr>
      <w:tblGrid>
        <w:gridCol w:w="493"/>
        <w:gridCol w:w="435"/>
        <w:gridCol w:w="437"/>
        <w:gridCol w:w="210"/>
        <w:gridCol w:w="210"/>
        <w:gridCol w:w="210"/>
        <w:gridCol w:w="923"/>
        <w:gridCol w:w="923"/>
        <w:gridCol w:w="130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7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Justin Renz</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br/>
              <w:t>(Principal Financial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4647/000143464726000031/zvra-20260331.htm" TargetMode="External"/><Relationship Id="rId3" Type="http://schemas.openxmlformats.org/officeDocument/2006/relationships/hyperlink" Target="https://www.sec.gov/Archives/edgar/data/1434647/000143464726000031/zvra-20260331.htm" TargetMode="External"/><Relationship Id="rId4" Type="http://schemas.openxmlformats.org/officeDocument/2006/relationships/hyperlink" Target="https://www.sec.gov/Archives/edgar/data/1434647/000143464726000031/zvra-20260331.htm" TargetMode="External"/><Relationship Id="rId5" Type="http://schemas.openxmlformats.org/officeDocument/2006/relationships/hyperlink" Target="https://www.sec.gov/Archives/edgar/data/1434647/000143464726000031/zvra-20260331.htm" TargetMode="External"/><Relationship Id="rId6" Type="http://schemas.openxmlformats.org/officeDocument/2006/relationships/hyperlink" Target="https://www.sec.gov/Archives/edgar/data/1434647/000143464726000031/zvra-20260331.htm" TargetMode="External"/><Relationship Id="rId7" Type="http://schemas.openxmlformats.org/officeDocument/2006/relationships/hyperlink" Target="https://www.sec.gov/Archives/edgar/data/1434647/000143464726000031/zvra-20260331.htm" TargetMode="External"/><Relationship Id="rId8" Type="http://schemas.openxmlformats.org/officeDocument/2006/relationships/hyperlink" Target="https://www.sec.gov/Archives/edgar/data/1434647/000143464726000031/zvra-20260331.htm" TargetMode="External"/><Relationship Id="rId9" Type="http://schemas.openxmlformats.org/officeDocument/2006/relationships/hyperlink" Target="https://www.sec.gov/Archives/edgar/data/1434647/000143464726000031/zvra-20260331.htm" TargetMode="External"/><Relationship Id="rId10" Type="http://schemas.openxmlformats.org/officeDocument/2006/relationships/hyperlink" Target="https://www.sec.gov/Archives/edgar/data/1434647/000143464726000031/zvra-20260331.htm" TargetMode="External"/><Relationship Id="rId11" Type="http://schemas.openxmlformats.org/officeDocument/2006/relationships/hyperlink" Target="https://www.sec.gov/Archives/edgar/data/1434647/000143464726000031/zvra-20260331.htm" TargetMode="External"/><Relationship Id="rId12" Type="http://schemas.openxmlformats.org/officeDocument/2006/relationships/hyperlink" Target="https://www.sec.gov/Archives/edgar/data/1434647/000143464726000031/zvra-20260331.htm" TargetMode="External"/><Relationship Id="rId13" Type="http://schemas.openxmlformats.org/officeDocument/2006/relationships/hyperlink" Target="https://www.sec.gov/Archives/edgar/data/1434647/000143464726000011/zvra-20251231xex31restated.htm" TargetMode="External"/><Relationship Id="rId14" Type="http://schemas.openxmlformats.org/officeDocument/2006/relationships/hyperlink" Target="https://www.sec.gov/Archives/edgar/data/1434647/000143774924005904/ex_632349.htm" TargetMode="External"/><Relationship Id="rId15" Type="http://schemas.openxmlformats.org/officeDocument/2006/relationships/hyperlink" Target="https://www.sec.gov/Archives/edgar/data/1434647/000143774921005785/ex_227827.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26112</Words>
  <Characters>145924</Characters>
  <CharactersWithSpaces>170647</CharactersWithSpaces>
  <Paragraphs>2258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