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758.xml.htm"/>
      <w:bookmarkStart w:id="1" w:name="kswkform4_17818137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Watton Corey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ZEVRA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FEDERAL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ZEVRA THERAPEUTICS, INC.</w:t>
              </w:r>
            </w:hyperlink>
            <w:r>
              <w:rPr/>
              <w:t xml:space="preserve"> [ </w:t>
            </w:r>
            <w:r>
              <w:rPr>
                <w:rFonts w:ascii="Times;serif" w:hAnsi="Times;serif"/>
                <w:color w:val="0000FF"/>
                <w:sz w:val="24"/>
                <w:shd w:fill="FFFFFF" w:val="clear"/>
              </w:rPr>
              <w:t>ZVRA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11.17</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30,000</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price is equal to the closing price of the Issuer's common stock on the Nasdaq Global Select Market on the date of grant,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grant was awarded as compensation for the Reporting Person's service on the Issuer's board of directors pursuant to the Issuer's tenth amended and restated non-employee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 hundred percent (100%) of the shares subject to the option shall vest on the earlier of (i) the first anniversary of the date of grant, (ii) the date that is one day prior to the first annual stockholders meeting occurring after the grant date or (iii) immediately prior to a change in control of the Issuer, subject in each case to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J. Sangiovanni, Attorney-in-Fact for Corey M. Watton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404" TargetMode="External"/><Relationship Id="rId5" Type="http://schemas.openxmlformats.org/officeDocument/2006/relationships/hyperlink" Target="http://www.sec.gov/cgi-bin/browse-edgar?action=getcompany&amp;CIK=0001434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705</Words>
  <Characters>3771</Characters>
  <CharactersWithSpaces>4412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