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9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930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McFarlane Neil 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ZEVRA THERAPEUTICS,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1180 CELEBRATION BOULEVARD, SUITE 103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ZEVRA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ZVRA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02/07/2026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1" w:lineRule="exact"/>
        <w:rPr>
          <w:sz w:val="24"/>
          <w:szCs w:val="24"/>
          <w:color w:val="auto"/>
        </w:rPr>
      </w:pPr>
    </w:p>
    <w:p>
      <w:pPr>
        <w:sectPr>
          <w:pgSz w:w="11900" w:h="16838" w:orient="portrait"/>
          <w:cols w:equalWidth="0" w:num="3">
            <w:col w:w="3540" w:space="360"/>
            <w:col w:w="3520" w:space="303"/>
            <w:col w:w="3357"/>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CELEBRATION 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34747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02/07/2026</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37,500</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401,850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02/09/2026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14,625</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8.5597</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387,225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02/07/2026</w:t>
            </w:r>
          </w:p>
        </w:tc>
        <w:tc>
          <w:tcPr>
            <w:tcW w:w="11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37,500</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37,500</w:t>
            </w:r>
          </w:p>
        </w:tc>
        <w:tc>
          <w:tcPr>
            <w:tcW w:w="1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3/21/2025.</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$8.39 to $8.67. The price reported reflects the weighted average sale price. The Reporting Person undertakes to provide upon request to the SEC staff, the Issuer or any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third of the restricted stock units vested and settled on February 7, 2026. The remaining two thirds of the shares will vest and settle in two equal annual installments thereafter, subject in each case to the Reporting person's continued service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Timothy J. Sangiovanni,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71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Neil F.</w:t>
      </w:r>
      <w:r>
        <w:rPr>
          <w:sz w:val="20"/>
          <w:szCs w:val="20"/>
          <w:color w:val="auto"/>
        </w:rPr>
        <w:tab/>
      </w:r>
      <w:r>
        <w:rPr>
          <w:rFonts w:ascii="Times New Roman" w:cs="Times New Roman" w:eastAsia="Times New Roman" w:hAnsi="Times New Roman"/>
          <w:sz w:val="16"/>
          <w:szCs w:val="16"/>
          <w:color w:val="0000FF"/>
        </w:rPr>
        <w:t>02/10/2026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McFarlane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61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164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1098" TargetMode="External"/><Relationship Id="rId14" Type="http://schemas.openxmlformats.org/officeDocument/2006/relationships/hyperlink" Target="http://www.sec.gov/cgi-bin/browse-edgar?action=getcompany&amp;CIK=0001434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2026-02-10T16:55:56Z</dcterms:created>
  <dcterms:modified xsi:type="dcterms:W3CDTF">2026-02-10T16:55:56Z</dcterms:modified>
</cp:coreProperties>
</file>